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B7" w:rsidRDefault="004C30B7" w:rsidP="004C30B7">
      <w:pPr>
        <w:spacing w:after="0" w:line="240" w:lineRule="auto"/>
        <w:jc w:val="center"/>
        <w:rPr>
          <w:rFonts w:ascii="Times New Roman" w:hAnsi="Times New Roman" w:cs="Times New Roman"/>
          <w:b/>
          <w:sz w:val="24"/>
          <w:szCs w:val="24"/>
        </w:rPr>
      </w:pPr>
      <w:r w:rsidRPr="004C30B7">
        <w:rPr>
          <w:rFonts w:ascii="Times New Roman" w:hAnsi="Times New Roman" w:cs="Times New Roman"/>
          <w:b/>
          <w:sz w:val="24"/>
          <w:szCs w:val="24"/>
        </w:rPr>
        <w:t xml:space="preserve">HALLER DISCOVERS GAMBLING IN THE BACK ROOM; </w:t>
      </w:r>
    </w:p>
    <w:p w:rsidR="00162126" w:rsidRDefault="004C30B7" w:rsidP="004C30B7">
      <w:pPr>
        <w:jc w:val="center"/>
        <w:rPr>
          <w:rFonts w:ascii="Times New Roman" w:hAnsi="Times New Roman" w:cs="Times New Roman"/>
          <w:b/>
          <w:sz w:val="24"/>
          <w:szCs w:val="24"/>
        </w:rPr>
      </w:pPr>
      <w:r w:rsidRPr="004C30B7">
        <w:rPr>
          <w:rFonts w:ascii="Times New Roman" w:hAnsi="Times New Roman" w:cs="Times New Roman"/>
          <w:b/>
          <w:sz w:val="24"/>
          <w:szCs w:val="24"/>
        </w:rPr>
        <w:t>THINKS IT MUST BE LEGAL</w:t>
      </w:r>
    </w:p>
    <w:p w:rsidR="004C30B7" w:rsidRDefault="004C30B7" w:rsidP="004C30B7">
      <w:pPr>
        <w:rPr>
          <w:rFonts w:ascii="Times New Roman" w:hAnsi="Times New Roman" w:cs="Times New Roman"/>
          <w:b/>
          <w:sz w:val="24"/>
          <w:szCs w:val="24"/>
        </w:rPr>
      </w:pPr>
    </w:p>
    <w:p w:rsidR="007C159C" w:rsidRDefault="004C30B7" w:rsidP="004C30B7">
      <w:pPr>
        <w:rPr>
          <w:rFonts w:ascii="Times New Roman" w:hAnsi="Times New Roman" w:cs="Times New Roman"/>
          <w:sz w:val="24"/>
          <w:szCs w:val="24"/>
        </w:rPr>
      </w:pPr>
      <w:r w:rsidRPr="004C30B7">
        <w:rPr>
          <w:rFonts w:ascii="Times New Roman" w:hAnsi="Times New Roman" w:cs="Times New Roman"/>
          <w:sz w:val="24"/>
          <w:szCs w:val="24"/>
        </w:rPr>
        <w:t>Tobias Haller</w:t>
      </w:r>
      <w:r>
        <w:rPr>
          <w:rFonts w:ascii="Times New Roman" w:hAnsi="Times New Roman" w:cs="Times New Roman"/>
          <w:sz w:val="24"/>
          <w:szCs w:val="24"/>
        </w:rPr>
        <w:t xml:space="preserve"> disagr</w:t>
      </w:r>
      <w:r w:rsidR="007C159C">
        <w:rPr>
          <w:rFonts w:ascii="Times New Roman" w:hAnsi="Times New Roman" w:cs="Times New Roman"/>
          <w:sz w:val="24"/>
          <w:szCs w:val="24"/>
        </w:rPr>
        <w:t xml:space="preserve">ees with our recent analysis showing that General Convention lacks constitutional authority to authorize supplemental liturgical materials.  </w:t>
      </w:r>
      <w:r w:rsidR="00803370">
        <w:rPr>
          <w:rFonts w:ascii="Times New Roman" w:hAnsi="Times New Roman" w:cs="Times New Roman"/>
          <w:sz w:val="24"/>
          <w:szCs w:val="24"/>
        </w:rPr>
        <w:t>[</w:t>
      </w:r>
      <w:proofErr w:type="gramStart"/>
      <w:r w:rsidR="00803370">
        <w:rPr>
          <w:rFonts w:ascii="Times New Roman" w:hAnsi="Times New Roman" w:cs="Times New Roman"/>
          <w:sz w:val="24"/>
          <w:szCs w:val="24"/>
        </w:rPr>
        <w:t>insert</w:t>
      </w:r>
      <w:proofErr w:type="gramEnd"/>
      <w:r w:rsidR="00803370">
        <w:rPr>
          <w:rFonts w:ascii="Times New Roman" w:hAnsi="Times New Roman" w:cs="Times New Roman"/>
          <w:sz w:val="24"/>
          <w:szCs w:val="24"/>
        </w:rPr>
        <w:t xml:space="preserve"> links to our piece and Haller’s] </w:t>
      </w:r>
      <w:r w:rsidR="007C159C">
        <w:rPr>
          <w:rFonts w:ascii="Times New Roman" w:hAnsi="Times New Roman" w:cs="Times New Roman"/>
          <w:sz w:val="24"/>
          <w:szCs w:val="24"/>
        </w:rPr>
        <w:t xml:space="preserve">His </w:t>
      </w:r>
      <w:r w:rsidR="00803370">
        <w:rPr>
          <w:rFonts w:ascii="Times New Roman" w:hAnsi="Times New Roman" w:cs="Times New Roman"/>
          <w:sz w:val="24"/>
          <w:szCs w:val="24"/>
        </w:rPr>
        <w:t xml:space="preserve">response begins </w:t>
      </w:r>
      <w:r w:rsidR="007C159C">
        <w:rPr>
          <w:rFonts w:ascii="Times New Roman" w:hAnsi="Times New Roman" w:cs="Times New Roman"/>
          <w:sz w:val="24"/>
          <w:szCs w:val="24"/>
        </w:rPr>
        <w:t>as follows: “Those who are ignorant of history</w:t>
      </w:r>
      <w:r w:rsidR="007C159C" w:rsidRPr="007C159C">
        <w:rPr>
          <w:rFonts w:ascii="Times New Roman" w:hAnsi="Times New Roman" w:cs="Times New Roman"/>
          <w:sz w:val="24"/>
          <w:szCs w:val="24"/>
        </w:rPr>
        <w:t>...are doomed not to know what they are talking about.</w:t>
      </w:r>
      <w:r w:rsidR="007C159C">
        <w:rPr>
          <w:rFonts w:ascii="Times New Roman" w:hAnsi="Times New Roman" w:cs="Times New Roman"/>
          <w:sz w:val="24"/>
          <w:szCs w:val="24"/>
        </w:rPr>
        <w:t xml:space="preserve"> </w:t>
      </w:r>
    </w:p>
    <w:p w:rsidR="00803370" w:rsidRDefault="007C159C" w:rsidP="004C30B7">
      <w:pPr>
        <w:rPr>
          <w:rFonts w:ascii="Times New Roman" w:hAnsi="Times New Roman" w:cs="Times New Roman"/>
          <w:sz w:val="24"/>
          <w:szCs w:val="24"/>
        </w:rPr>
      </w:pPr>
      <w:r>
        <w:rPr>
          <w:rFonts w:ascii="Times New Roman" w:hAnsi="Times New Roman" w:cs="Times New Roman"/>
          <w:sz w:val="24"/>
          <w:szCs w:val="24"/>
        </w:rPr>
        <w:t xml:space="preserve">He thus </w:t>
      </w:r>
      <w:r w:rsidR="00803370">
        <w:rPr>
          <w:rFonts w:ascii="Times New Roman" w:hAnsi="Times New Roman" w:cs="Times New Roman"/>
          <w:sz w:val="24"/>
          <w:szCs w:val="24"/>
        </w:rPr>
        <w:t>starts</w:t>
      </w:r>
      <w:r>
        <w:rPr>
          <w:rFonts w:ascii="Times New Roman" w:hAnsi="Times New Roman" w:cs="Times New Roman"/>
          <w:sz w:val="24"/>
          <w:szCs w:val="24"/>
        </w:rPr>
        <w:t xml:space="preserve"> his misadventure at legal reasoning with an obviously false </w:t>
      </w:r>
      <w:r w:rsidR="00F234A7">
        <w:rPr>
          <w:rFonts w:ascii="Times New Roman" w:hAnsi="Times New Roman" w:cs="Times New Roman"/>
          <w:sz w:val="24"/>
          <w:szCs w:val="24"/>
        </w:rPr>
        <w:t xml:space="preserve">(implied) </w:t>
      </w:r>
      <w:r>
        <w:rPr>
          <w:rFonts w:ascii="Times New Roman" w:hAnsi="Times New Roman" w:cs="Times New Roman"/>
          <w:sz w:val="24"/>
          <w:szCs w:val="24"/>
        </w:rPr>
        <w:t>premise: that we are unaware that General Convention has purported to “authorize” supplemental materials for a long time.  Indeed, we began our analysis of this issue in part II of our piece with precisely this formulation (“purported to ‘authorize’”) in order to signal</w:t>
      </w:r>
      <w:r w:rsidR="000F56D5">
        <w:rPr>
          <w:rFonts w:ascii="Times New Roman" w:hAnsi="Times New Roman" w:cs="Times New Roman"/>
          <w:sz w:val="24"/>
          <w:szCs w:val="24"/>
        </w:rPr>
        <w:t xml:space="preserve"> that the issue is not the existence of these materials, but their constitutional status.  </w:t>
      </w:r>
      <w:r w:rsidR="00803370">
        <w:rPr>
          <w:rFonts w:ascii="Times New Roman" w:hAnsi="Times New Roman" w:cs="Times New Roman"/>
          <w:sz w:val="24"/>
          <w:szCs w:val="24"/>
        </w:rPr>
        <w:t>Notwithstanding Haller’s triumphant discovery of the Book of Occasional Services and Lesser Feasts and Fasts, are there any TEC clergy who are not aware of these materials?</w:t>
      </w:r>
    </w:p>
    <w:p w:rsidR="000F56D5" w:rsidRDefault="000F56D5" w:rsidP="004C30B7">
      <w:pPr>
        <w:rPr>
          <w:rFonts w:ascii="Times New Roman" w:hAnsi="Times New Roman" w:cs="Times New Roman"/>
          <w:sz w:val="24"/>
          <w:szCs w:val="24"/>
        </w:rPr>
      </w:pPr>
      <w:r>
        <w:rPr>
          <w:rFonts w:ascii="Times New Roman" w:hAnsi="Times New Roman" w:cs="Times New Roman"/>
          <w:sz w:val="24"/>
          <w:szCs w:val="24"/>
        </w:rPr>
        <w:t>Careful readers of our discussion would have noticed that we inserted an ellipsis into a quotation from a 2006 SCLM report:</w:t>
      </w:r>
    </w:p>
    <w:p w:rsidR="004C30B7" w:rsidRDefault="000F56D5" w:rsidP="000F56D5">
      <w:pPr>
        <w:ind w:left="720"/>
        <w:rPr>
          <w:rFonts w:ascii="Times New Roman" w:hAnsi="Times New Roman" w:cs="Times New Roman"/>
          <w:sz w:val="24"/>
          <w:szCs w:val="24"/>
        </w:rPr>
      </w:pPr>
      <w:r w:rsidRPr="000F56D5">
        <w:rPr>
          <w:rFonts w:ascii="Times New Roman" w:hAnsi="Times New Roman" w:cs="Times New Roman"/>
          <w:sz w:val="24"/>
          <w:szCs w:val="24"/>
        </w:rPr>
        <w:t xml:space="preserve">The multiplication of liturgical and musical materials intended for occasional use at the direction of the Diocesan bishop … has rendered the meanings of prayer book phrases like </w:t>
      </w:r>
      <w:r w:rsidRPr="000F56D5">
        <w:rPr>
          <w:rFonts w:ascii="Times New Roman" w:hAnsi="Times New Roman" w:cs="Times New Roman"/>
          <w:i/>
          <w:iCs/>
          <w:sz w:val="24"/>
          <w:szCs w:val="24"/>
        </w:rPr>
        <w:t>forms set forth by authority with this Church and subject to the direction of the bishop</w:t>
      </w:r>
      <w:r w:rsidRPr="000F56D5">
        <w:rPr>
          <w:rFonts w:ascii="Times New Roman" w:hAnsi="Times New Roman" w:cs="Times New Roman"/>
          <w:sz w:val="24"/>
          <w:szCs w:val="24"/>
        </w:rPr>
        <w:t xml:space="preserve"> (BCP p. 13) and </w:t>
      </w:r>
      <w:r w:rsidRPr="000F56D5">
        <w:rPr>
          <w:rFonts w:ascii="Times New Roman" w:hAnsi="Times New Roman" w:cs="Times New Roman"/>
          <w:i/>
          <w:iCs/>
          <w:sz w:val="24"/>
          <w:szCs w:val="24"/>
        </w:rPr>
        <w:t>hymns…authorized by this Church</w:t>
      </w:r>
      <w:r w:rsidRPr="000F56D5">
        <w:rPr>
          <w:rFonts w:ascii="Times New Roman" w:hAnsi="Times New Roman" w:cs="Times New Roman"/>
          <w:sz w:val="24"/>
          <w:szCs w:val="24"/>
        </w:rPr>
        <w:t xml:space="preserve"> (BCP</w:t>
      </w:r>
      <w:r>
        <w:rPr>
          <w:rFonts w:ascii="Times New Roman" w:hAnsi="Times New Roman" w:cs="Times New Roman"/>
          <w:sz w:val="24"/>
          <w:szCs w:val="24"/>
        </w:rPr>
        <w:t xml:space="preserve"> p. 14) difficult to interpret.</w:t>
      </w:r>
      <w:r w:rsidR="007C159C">
        <w:rPr>
          <w:rFonts w:ascii="Times New Roman" w:hAnsi="Times New Roman" w:cs="Times New Roman"/>
          <w:sz w:val="24"/>
          <w:szCs w:val="24"/>
        </w:rPr>
        <w:t xml:space="preserve"> </w:t>
      </w:r>
    </w:p>
    <w:p w:rsidR="000F56D5" w:rsidRDefault="000F56D5" w:rsidP="000F56D5">
      <w:pPr>
        <w:jc w:val="both"/>
        <w:rPr>
          <w:rFonts w:ascii="Times New Roman" w:hAnsi="Times New Roman" w:cs="Times New Roman"/>
          <w:sz w:val="24"/>
          <w:szCs w:val="24"/>
        </w:rPr>
      </w:pPr>
      <w:r>
        <w:rPr>
          <w:rFonts w:ascii="Times New Roman" w:hAnsi="Times New Roman" w:cs="Times New Roman"/>
          <w:sz w:val="24"/>
          <w:szCs w:val="24"/>
        </w:rPr>
        <w:t xml:space="preserve">What we omitted from the quote and indicated by the ellipsis </w:t>
      </w:r>
      <w:r w:rsidR="00803370">
        <w:rPr>
          <w:rFonts w:ascii="Times New Roman" w:hAnsi="Times New Roman" w:cs="Times New Roman"/>
          <w:sz w:val="24"/>
          <w:szCs w:val="24"/>
        </w:rPr>
        <w:t>wa</w:t>
      </w:r>
      <w:r>
        <w:rPr>
          <w:rFonts w:ascii="Times New Roman" w:hAnsi="Times New Roman" w:cs="Times New Roman"/>
          <w:sz w:val="24"/>
          <w:szCs w:val="24"/>
        </w:rPr>
        <w:t>s such a laundry-list of supplemental materials as to render the sentence almost unintelligible as written.</w:t>
      </w:r>
      <w:r w:rsidR="00345089">
        <w:rPr>
          <w:rFonts w:ascii="Times New Roman" w:hAnsi="Times New Roman" w:cs="Times New Roman"/>
          <w:sz w:val="24"/>
          <w:szCs w:val="24"/>
        </w:rPr>
        <w:t xml:space="preserve"> </w:t>
      </w:r>
      <w:r w:rsidR="000B21A6">
        <w:rPr>
          <w:rFonts w:ascii="Times New Roman" w:hAnsi="Times New Roman" w:cs="Times New Roman"/>
          <w:sz w:val="24"/>
          <w:szCs w:val="24"/>
        </w:rPr>
        <w:t xml:space="preserve">For the record: we </w:t>
      </w:r>
      <w:r w:rsidR="00D935CA">
        <w:rPr>
          <w:rFonts w:ascii="Times New Roman" w:hAnsi="Times New Roman" w:cs="Times New Roman"/>
          <w:sz w:val="24"/>
          <w:szCs w:val="24"/>
        </w:rPr>
        <w:t>were aware that</w:t>
      </w:r>
      <w:r w:rsidR="000B21A6">
        <w:rPr>
          <w:rFonts w:ascii="Times New Roman" w:hAnsi="Times New Roman" w:cs="Times New Roman"/>
          <w:sz w:val="24"/>
          <w:szCs w:val="24"/>
        </w:rPr>
        <w:t xml:space="preserve"> these materials existed.</w:t>
      </w:r>
    </w:p>
    <w:p w:rsidR="00345089" w:rsidRDefault="00F234A7" w:rsidP="000F56D5">
      <w:pPr>
        <w:jc w:val="both"/>
        <w:rPr>
          <w:rFonts w:ascii="Times New Roman" w:hAnsi="Times New Roman" w:cs="Times New Roman"/>
          <w:sz w:val="24"/>
          <w:szCs w:val="24"/>
        </w:rPr>
      </w:pPr>
      <w:proofErr w:type="gramStart"/>
      <w:r>
        <w:rPr>
          <w:rFonts w:ascii="Times New Roman" w:hAnsi="Times New Roman" w:cs="Times New Roman"/>
          <w:sz w:val="24"/>
          <w:szCs w:val="24"/>
        </w:rPr>
        <w:t>So much for Haller’s title.</w:t>
      </w:r>
      <w:proofErr w:type="gramEnd"/>
      <w:r w:rsidR="00E3148E">
        <w:rPr>
          <w:rFonts w:ascii="Times New Roman" w:hAnsi="Times New Roman" w:cs="Times New Roman"/>
          <w:sz w:val="24"/>
          <w:szCs w:val="24"/>
        </w:rPr>
        <w:t xml:space="preserve">  It gets worse.</w:t>
      </w:r>
    </w:p>
    <w:p w:rsidR="00E3148E" w:rsidRDefault="00E3148E" w:rsidP="000F56D5">
      <w:pPr>
        <w:jc w:val="both"/>
        <w:rPr>
          <w:rFonts w:ascii="Times New Roman" w:hAnsi="Times New Roman" w:cs="Times New Roman"/>
          <w:sz w:val="24"/>
          <w:szCs w:val="24"/>
        </w:rPr>
      </w:pPr>
      <w:r>
        <w:rPr>
          <w:rFonts w:ascii="Times New Roman" w:hAnsi="Times New Roman" w:cs="Times New Roman"/>
          <w:sz w:val="24"/>
          <w:szCs w:val="24"/>
        </w:rPr>
        <w:t xml:space="preserve">His main argument appears to be that if something has been going on for a long time it must be constitutional.  For starters, he should take this point up with the SCLM and the Standing Commission on Constitution and Canons, which have jointly been attempting over the last 25 years to amend Article X of TEC’s Constitution to give general convention authority to authorize these supplemental materials.  </w:t>
      </w:r>
      <w:proofErr w:type="gramStart"/>
      <w:r>
        <w:rPr>
          <w:rFonts w:ascii="Times New Roman" w:hAnsi="Times New Roman" w:cs="Times New Roman"/>
          <w:sz w:val="24"/>
          <w:szCs w:val="24"/>
        </w:rPr>
        <w:t>If they are constitutional anyway, why the bother?</w:t>
      </w:r>
      <w:proofErr w:type="gramEnd"/>
      <w:r>
        <w:rPr>
          <w:rFonts w:ascii="Times New Roman" w:hAnsi="Times New Roman" w:cs="Times New Roman"/>
          <w:sz w:val="24"/>
          <w:szCs w:val="24"/>
        </w:rPr>
        <w:t xml:space="preserve">  Why try again now?</w:t>
      </w:r>
    </w:p>
    <w:p w:rsidR="006262AA" w:rsidRDefault="00E3148E" w:rsidP="000F56D5">
      <w:pPr>
        <w:jc w:val="both"/>
        <w:rPr>
          <w:rFonts w:ascii="Times New Roman" w:hAnsi="Times New Roman" w:cs="Times New Roman"/>
          <w:sz w:val="24"/>
          <w:szCs w:val="24"/>
        </w:rPr>
      </w:pPr>
      <w:r>
        <w:rPr>
          <w:rFonts w:ascii="Times New Roman" w:hAnsi="Times New Roman" w:cs="Times New Roman"/>
          <w:sz w:val="24"/>
          <w:szCs w:val="24"/>
        </w:rPr>
        <w:t xml:space="preserve">In any event, Haller’s legal reasoning at this point is naïve.  Constitutional questions are not something like adverse possession: if one does </w:t>
      </w:r>
      <w:r w:rsidR="000827FB">
        <w:rPr>
          <w:rFonts w:ascii="Times New Roman" w:hAnsi="Times New Roman" w:cs="Times New Roman"/>
          <w:sz w:val="24"/>
          <w:szCs w:val="24"/>
        </w:rPr>
        <w:t>an unconstitutional act</w:t>
      </w:r>
      <w:r>
        <w:rPr>
          <w:rFonts w:ascii="Times New Roman" w:hAnsi="Times New Roman" w:cs="Times New Roman"/>
          <w:sz w:val="24"/>
          <w:szCs w:val="24"/>
        </w:rPr>
        <w:t xml:space="preserve"> openly and notoriously for ten years it becomes constitutional.  Constitutional questions are never waived.  </w:t>
      </w:r>
      <w:r w:rsidR="006262AA" w:rsidRPr="006262AA">
        <w:rPr>
          <w:rFonts w:ascii="Times New Roman" w:hAnsi="Times New Roman" w:cs="Times New Roman"/>
          <w:sz w:val="24"/>
          <w:szCs w:val="24"/>
        </w:rPr>
        <w:t xml:space="preserve">There is often a significant period of time when the unconstitutionality of a statute goes unrecognized. Indeed, </w:t>
      </w:r>
      <w:r w:rsidR="006262AA" w:rsidRPr="006262AA">
        <w:rPr>
          <w:rFonts w:ascii="Times New Roman" w:hAnsi="Times New Roman" w:cs="Times New Roman"/>
          <w:sz w:val="24"/>
          <w:szCs w:val="24"/>
        </w:rPr>
        <w:lastRenderedPageBreak/>
        <w:t xml:space="preserve">whenever a court finds a legislative act unconstitutional it is true </w:t>
      </w:r>
      <w:r w:rsidR="006262AA" w:rsidRPr="006262AA">
        <w:rPr>
          <w:rFonts w:ascii="Times New Roman" w:hAnsi="Times New Roman" w:cs="Times New Roman"/>
          <w:i/>
          <w:iCs/>
          <w:sz w:val="24"/>
          <w:szCs w:val="24"/>
        </w:rPr>
        <w:t>by definition</w:t>
      </w:r>
      <w:r w:rsidR="006262AA" w:rsidRPr="006262AA">
        <w:rPr>
          <w:rFonts w:ascii="Times New Roman" w:hAnsi="Times New Roman" w:cs="Times New Roman"/>
          <w:sz w:val="24"/>
          <w:szCs w:val="24"/>
        </w:rPr>
        <w:t xml:space="preserve"> that a majority of the legislators themselves had previously thought the act constitutional. And there are well known cases in which the Supreme Court itself had previously </w:t>
      </w:r>
      <w:r w:rsidR="006262AA" w:rsidRPr="006262AA">
        <w:rPr>
          <w:rFonts w:ascii="Times New Roman" w:hAnsi="Times New Roman" w:cs="Times New Roman"/>
          <w:i/>
          <w:iCs/>
          <w:sz w:val="24"/>
          <w:szCs w:val="24"/>
        </w:rPr>
        <w:t>upheld</w:t>
      </w:r>
      <w:r w:rsidR="006262AA" w:rsidRPr="006262AA">
        <w:rPr>
          <w:rFonts w:ascii="Times New Roman" w:hAnsi="Times New Roman" w:cs="Times New Roman"/>
          <w:sz w:val="24"/>
          <w:szCs w:val="24"/>
        </w:rPr>
        <w:t xml:space="preserve"> the constitutionality of statutes it was later to strike down. As everyone knows, </w:t>
      </w:r>
      <w:r w:rsidR="006262AA" w:rsidRPr="006262AA">
        <w:rPr>
          <w:rFonts w:ascii="Times New Roman" w:hAnsi="Times New Roman" w:cs="Times New Roman"/>
          <w:i/>
          <w:iCs/>
          <w:sz w:val="24"/>
          <w:szCs w:val="24"/>
        </w:rPr>
        <w:t>Brown v. Board of Education</w:t>
      </w:r>
      <w:r w:rsidR="006262AA" w:rsidRPr="006262AA">
        <w:rPr>
          <w:rFonts w:ascii="Times New Roman" w:hAnsi="Times New Roman" w:cs="Times New Roman"/>
          <w:sz w:val="24"/>
          <w:szCs w:val="24"/>
        </w:rPr>
        <w:t xml:space="preserve"> overruled a similar case, </w:t>
      </w:r>
      <w:proofErr w:type="spellStart"/>
      <w:r w:rsidR="006262AA" w:rsidRPr="006262AA">
        <w:rPr>
          <w:rFonts w:ascii="Times New Roman" w:hAnsi="Times New Roman" w:cs="Times New Roman"/>
          <w:i/>
          <w:iCs/>
          <w:sz w:val="24"/>
          <w:szCs w:val="24"/>
        </w:rPr>
        <w:t>Plessy</w:t>
      </w:r>
      <w:proofErr w:type="spellEnd"/>
      <w:r w:rsidR="006262AA" w:rsidRPr="006262AA">
        <w:rPr>
          <w:rFonts w:ascii="Times New Roman" w:hAnsi="Times New Roman" w:cs="Times New Roman"/>
          <w:i/>
          <w:iCs/>
          <w:sz w:val="24"/>
          <w:szCs w:val="24"/>
        </w:rPr>
        <w:t xml:space="preserve"> v. Ferguson</w:t>
      </w:r>
      <w:r w:rsidR="006262AA" w:rsidRPr="006262AA">
        <w:rPr>
          <w:rFonts w:ascii="Times New Roman" w:hAnsi="Times New Roman" w:cs="Times New Roman"/>
          <w:sz w:val="24"/>
          <w:szCs w:val="24"/>
        </w:rPr>
        <w:t xml:space="preserve">, that sixty years earlier had found segregation statutes constitutional. Similarly, </w:t>
      </w:r>
      <w:r w:rsidR="006262AA" w:rsidRPr="006262AA">
        <w:rPr>
          <w:rFonts w:ascii="Times New Roman" w:hAnsi="Times New Roman" w:cs="Times New Roman"/>
          <w:i/>
          <w:iCs/>
          <w:sz w:val="24"/>
          <w:szCs w:val="24"/>
        </w:rPr>
        <w:t>Lawrence v. Texas</w:t>
      </w:r>
      <w:r w:rsidR="006262AA" w:rsidRPr="006262AA">
        <w:rPr>
          <w:rFonts w:ascii="Times New Roman" w:hAnsi="Times New Roman" w:cs="Times New Roman"/>
          <w:sz w:val="24"/>
          <w:szCs w:val="24"/>
        </w:rPr>
        <w:t xml:space="preserve"> overruled a Supreme Court case decided only seventeen years earlier when it ruled state sodomy statutes unconstitutional.</w:t>
      </w:r>
      <w:r w:rsidR="006262AA">
        <w:rPr>
          <w:rFonts w:ascii="Times New Roman" w:hAnsi="Times New Roman" w:cs="Times New Roman"/>
          <w:sz w:val="24"/>
          <w:szCs w:val="24"/>
        </w:rPr>
        <w:t xml:space="preserve"> </w:t>
      </w:r>
      <w:r w:rsidR="006262AA" w:rsidRPr="006262AA">
        <w:rPr>
          <w:rFonts w:ascii="Times New Roman" w:hAnsi="Times New Roman" w:cs="Times New Roman"/>
          <w:sz w:val="24"/>
          <w:szCs w:val="24"/>
        </w:rPr>
        <w:t xml:space="preserve"> </w:t>
      </w:r>
    </w:p>
    <w:p w:rsidR="00C3020C" w:rsidRDefault="006262AA" w:rsidP="000F56D5">
      <w:pPr>
        <w:jc w:val="both"/>
        <w:rPr>
          <w:rFonts w:ascii="Times New Roman" w:hAnsi="Times New Roman" w:cs="Times New Roman"/>
          <w:sz w:val="24"/>
          <w:szCs w:val="24"/>
        </w:rPr>
      </w:pPr>
      <w:r>
        <w:rPr>
          <w:rFonts w:ascii="Times New Roman" w:hAnsi="Times New Roman" w:cs="Times New Roman"/>
          <w:sz w:val="24"/>
          <w:szCs w:val="24"/>
        </w:rPr>
        <w:t>Haller’s other arguments fare no better.  His second one is that “</w:t>
      </w:r>
      <w:r w:rsidRPr="006262AA">
        <w:rPr>
          <w:rFonts w:ascii="Times New Roman" w:hAnsi="Times New Roman" w:cs="Times New Roman"/>
          <w:sz w:val="24"/>
          <w:szCs w:val="24"/>
        </w:rPr>
        <w:t>nothing in the Constitution or Canons forbids General Convention authorizing rites supplemental to the Book of Common Prayer.</w:t>
      </w:r>
      <w:r>
        <w:rPr>
          <w:rFonts w:ascii="Times New Roman" w:hAnsi="Times New Roman" w:cs="Times New Roman"/>
          <w:sz w:val="24"/>
          <w:szCs w:val="24"/>
        </w:rPr>
        <w:t xml:space="preserve">”  This argument from silence is a tricky one; although TEC acknowledges in court, as it must, that there is no provision in the </w:t>
      </w:r>
      <w:r w:rsidR="000827FB">
        <w:rPr>
          <w:rFonts w:ascii="Times New Roman" w:hAnsi="Times New Roman" w:cs="Times New Roman"/>
          <w:sz w:val="24"/>
          <w:szCs w:val="24"/>
        </w:rPr>
        <w:t>C</w:t>
      </w:r>
      <w:r>
        <w:rPr>
          <w:rFonts w:ascii="Times New Roman" w:hAnsi="Times New Roman" w:cs="Times New Roman"/>
          <w:sz w:val="24"/>
          <w:szCs w:val="24"/>
        </w:rPr>
        <w:t>onstitution forbidding a diocese from withdrawing from the church, it continues to argue (both insistently and unsuccessfully) that a diocese cannot leave.</w:t>
      </w:r>
      <w:r w:rsidR="00C3020C">
        <w:rPr>
          <w:rFonts w:ascii="Times New Roman" w:hAnsi="Times New Roman" w:cs="Times New Roman"/>
          <w:sz w:val="24"/>
          <w:szCs w:val="24"/>
        </w:rPr>
        <w:t xml:space="preserve">  As is well known, we have concluded that a diocese has the legal right to withdraw, but our argument is not based on mere silence but instead on a careful analysis of TEC’s legal structure. (One of us (McCall) testified in the Quincy trial on just this issue.)  </w:t>
      </w:r>
    </w:p>
    <w:p w:rsidR="006262AA" w:rsidRDefault="00C3020C" w:rsidP="000F56D5">
      <w:pPr>
        <w:jc w:val="both"/>
        <w:rPr>
          <w:rFonts w:ascii="Times New Roman" w:hAnsi="Times New Roman" w:cs="Times New Roman"/>
          <w:sz w:val="24"/>
          <w:szCs w:val="24"/>
        </w:rPr>
      </w:pPr>
      <w:r>
        <w:rPr>
          <w:rFonts w:ascii="Times New Roman" w:hAnsi="Times New Roman" w:cs="Times New Roman"/>
          <w:sz w:val="24"/>
          <w:szCs w:val="24"/>
        </w:rPr>
        <w:t>Similarly, our analysis</w:t>
      </w:r>
      <w:r w:rsidR="006262AA">
        <w:rPr>
          <w:rFonts w:ascii="Times New Roman" w:hAnsi="Times New Roman" w:cs="Times New Roman"/>
          <w:sz w:val="24"/>
          <w:szCs w:val="24"/>
        </w:rPr>
        <w:t xml:space="preserve"> </w:t>
      </w:r>
      <w:r>
        <w:rPr>
          <w:rFonts w:ascii="Times New Roman" w:hAnsi="Times New Roman" w:cs="Times New Roman"/>
          <w:sz w:val="24"/>
          <w:szCs w:val="24"/>
        </w:rPr>
        <w:t xml:space="preserve">of the constitutional issues surrounding supplemental liturgical materials is not based simply on silence in the Constitution, but on the fact that a) General Convention is given carefully-defined authority over liturgical matters; b) another office (diocesan bishop) is explicitly given the authority Haller would assign to General Convention; and c) the church has repeatedly recognized the need for amending the Constitution to give General Convention authority in this area but has failed to do so.  </w:t>
      </w:r>
      <w:r w:rsidR="006D3176">
        <w:rPr>
          <w:rFonts w:ascii="Times New Roman" w:hAnsi="Times New Roman" w:cs="Times New Roman"/>
          <w:sz w:val="24"/>
          <w:szCs w:val="24"/>
        </w:rPr>
        <w:t>By pointing to silence in the face of these facts, Haller is essentially conceding the main point we were making: the Constitution does not give this authority to General Convention.</w:t>
      </w:r>
    </w:p>
    <w:p w:rsidR="006D3176" w:rsidRDefault="000472A9" w:rsidP="000F56D5">
      <w:pPr>
        <w:jc w:val="both"/>
        <w:rPr>
          <w:rFonts w:ascii="Times New Roman" w:hAnsi="Times New Roman" w:cs="Times New Roman"/>
          <w:sz w:val="24"/>
          <w:szCs w:val="24"/>
        </w:rPr>
      </w:pPr>
      <w:r>
        <w:rPr>
          <w:rFonts w:ascii="Times New Roman" w:hAnsi="Times New Roman" w:cs="Times New Roman"/>
          <w:sz w:val="24"/>
          <w:szCs w:val="24"/>
        </w:rPr>
        <w:t>Haller next resorts to a well-known logical fallacy when he argues that</w:t>
      </w:r>
      <w:r w:rsidRPr="000472A9">
        <w:t xml:space="preserve"> </w:t>
      </w:r>
      <w:r>
        <w:t>“</w:t>
      </w:r>
      <w:r w:rsidRPr="000472A9">
        <w:rPr>
          <w:rFonts w:ascii="Times New Roman" w:hAnsi="Times New Roman" w:cs="Times New Roman"/>
          <w:sz w:val="24"/>
          <w:szCs w:val="24"/>
        </w:rPr>
        <w:t>ACI seems to think that the House of Bishops (and Deputies) cannot do as a body what any individual bishop can do in her own diocese (authorize a liturgy for a special occasion or for circumstance not provided for in the BCP)</w:t>
      </w:r>
      <w:r>
        <w:rPr>
          <w:rFonts w:ascii="Times New Roman" w:hAnsi="Times New Roman" w:cs="Times New Roman"/>
          <w:sz w:val="24"/>
          <w:szCs w:val="24"/>
        </w:rPr>
        <w:t>.”  Haller here commits the fallacy of composition, which has been recognized since the time of Aristotle as a failure of logic.  Aristotle’s contemporary equivalent, Wikipedia, defines this fallacy as one that “</w:t>
      </w:r>
      <w:r w:rsidRPr="000472A9">
        <w:rPr>
          <w:rFonts w:ascii="Times New Roman" w:hAnsi="Times New Roman" w:cs="Times New Roman"/>
          <w:sz w:val="24"/>
          <w:szCs w:val="24"/>
        </w:rPr>
        <w:t xml:space="preserve">arises when one infers that something is true of the </w:t>
      </w:r>
      <w:r w:rsidRPr="000472A9">
        <w:rPr>
          <w:rFonts w:ascii="Times New Roman" w:hAnsi="Times New Roman" w:cs="Times New Roman"/>
          <w:i/>
          <w:iCs/>
          <w:sz w:val="24"/>
          <w:szCs w:val="24"/>
        </w:rPr>
        <w:t>whole</w:t>
      </w:r>
      <w:r w:rsidRPr="000472A9">
        <w:rPr>
          <w:rFonts w:ascii="Times New Roman" w:hAnsi="Times New Roman" w:cs="Times New Roman"/>
          <w:sz w:val="24"/>
          <w:szCs w:val="24"/>
        </w:rPr>
        <w:t xml:space="preserve"> from the fact that it is true of some </w:t>
      </w:r>
      <w:r w:rsidRPr="000472A9">
        <w:rPr>
          <w:rFonts w:ascii="Times New Roman" w:hAnsi="Times New Roman" w:cs="Times New Roman"/>
          <w:i/>
          <w:iCs/>
          <w:sz w:val="24"/>
          <w:szCs w:val="24"/>
        </w:rPr>
        <w:t>part</w:t>
      </w:r>
      <w:r w:rsidRPr="000472A9">
        <w:rPr>
          <w:rFonts w:ascii="Times New Roman" w:hAnsi="Times New Roman" w:cs="Times New Roman"/>
          <w:sz w:val="24"/>
          <w:szCs w:val="24"/>
        </w:rPr>
        <w:t xml:space="preserve"> of the whole (or even of </w:t>
      </w:r>
      <w:r w:rsidRPr="000472A9">
        <w:rPr>
          <w:rFonts w:ascii="Times New Roman" w:hAnsi="Times New Roman" w:cs="Times New Roman"/>
          <w:i/>
          <w:iCs/>
          <w:sz w:val="24"/>
          <w:szCs w:val="24"/>
        </w:rPr>
        <w:t>every</w:t>
      </w:r>
      <w:r>
        <w:rPr>
          <w:rFonts w:ascii="Times New Roman" w:hAnsi="Times New Roman" w:cs="Times New Roman"/>
          <w:i/>
          <w:iCs/>
          <w:sz w:val="24"/>
          <w:szCs w:val="24"/>
        </w:rPr>
        <w:t xml:space="preserve"> </w:t>
      </w:r>
      <w:r>
        <w:rPr>
          <w:rFonts w:ascii="Times New Roman" w:hAnsi="Times New Roman" w:cs="Times New Roman"/>
          <w:iCs/>
          <w:sz w:val="24"/>
          <w:szCs w:val="24"/>
        </w:rPr>
        <w:t>proper part</w:t>
      </w:r>
      <w:r w:rsidRPr="000472A9">
        <w:rPr>
          <w:rFonts w:ascii="Times New Roman" w:hAnsi="Times New Roman" w:cs="Times New Roman"/>
          <w:sz w:val="24"/>
          <w:szCs w:val="24"/>
        </w:rPr>
        <w:t>).</w:t>
      </w:r>
      <w:r>
        <w:rPr>
          <w:rFonts w:ascii="Times New Roman" w:hAnsi="Times New Roman" w:cs="Times New Roman"/>
          <w:sz w:val="24"/>
          <w:szCs w:val="24"/>
        </w:rPr>
        <w:t xml:space="preserve">”  The example given in the traditional introduction to logic is the following: every piece of this machine is lightweight; therefore the whole machine is lightweight.  To take an obvious example from TEC, every diocesan bishop has the right to give or withhold consent from </w:t>
      </w:r>
      <w:proofErr w:type="spellStart"/>
      <w:r>
        <w:rPr>
          <w:rFonts w:ascii="Times New Roman" w:hAnsi="Times New Roman" w:cs="Times New Roman"/>
          <w:sz w:val="24"/>
          <w:szCs w:val="24"/>
        </w:rPr>
        <w:t>episcopal</w:t>
      </w:r>
      <w:proofErr w:type="spellEnd"/>
      <w:r>
        <w:rPr>
          <w:rFonts w:ascii="Times New Roman" w:hAnsi="Times New Roman" w:cs="Times New Roman"/>
          <w:sz w:val="24"/>
          <w:szCs w:val="24"/>
        </w:rPr>
        <w:t xml:space="preserve"> elections</w:t>
      </w:r>
      <w:r w:rsidR="002D1AF3">
        <w:rPr>
          <w:rFonts w:ascii="Times New Roman" w:hAnsi="Times New Roman" w:cs="Times New Roman"/>
          <w:sz w:val="24"/>
          <w:szCs w:val="24"/>
        </w:rPr>
        <w:t>.  That does not give the House of Bishops that right—much less the House of Deputies!</w:t>
      </w:r>
    </w:p>
    <w:p w:rsidR="002D1AF3" w:rsidRPr="002D1AF3" w:rsidRDefault="002D1AF3" w:rsidP="002D1AF3">
      <w:pPr>
        <w:jc w:val="both"/>
        <w:rPr>
          <w:rFonts w:ascii="Times New Roman" w:hAnsi="Times New Roman" w:cs="Times New Roman"/>
          <w:sz w:val="24"/>
          <w:szCs w:val="24"/>
        </w:rPr>
      </w:pPr>
      <w:r>
        <w:rPr>
          <w:rFonts w:ascii="Times New Roman" w:hAnsi="Times New Roman" w:cs="Times New Roman"/>
          <w:sz w:val="24"/>
          <w:szCs w:val="24"/>
        </w:rPr>
        <w:t>To return to history: Samuel Seabury himself authorized supplemental liturgical materials in the first years of TEC’s existence.  But more on point for the current issue is the view taken by the other half of the first HOB, William White.  In 1789, h</w:t>
      </w:r>
      <w:r w:rsidRPr="002D1AF3">
        <w:rPr>
          <w:rFonts w:ascii="Times New Roman" w:hAnsi="Times New Roman" w:cs="Times New Roman"/>
          <w:sz w:val="24"/>
          <w:szCs w:val="24"/>
        </w:rPr>
        <w:t xml:space="preserve">e was deeply unhappy with a decision by the first General Convention after TEC was organized to deviate from the Church of England’s </w:t>
      </w:r>
      <w:r w:rsidRPr="002D1AF3">
        <w:rPr>
          <w:rFonts w:ascii="Times New Roman" w:hAnsi="Times New Roman" w:cs="Times New Roman"/>
          <w:sz w:val="24"/>
          <w:szCs w:val="24"/>
        </w:rPr>
        <w:lastRenderedPageBreak/>
        <w:t xml:space="preserve">Book of Common Prayer in the Apostle’s Creed. He expressed this in a </w:t>
      </w:r>
      <w:r>
        <w:rPr>
          <w:rFonts w:ascii="Times New Roman" w:hAnsi="Times New Roman" w:cs="Times New Roman"/>
          <w:sz w:val="24"/>
          <w:szCs w:val="24"/>
        </w:rPr>
        <w:t xml:space="preserve">December 1789 </w:t>
      </w:r>
      <w:r w:rsidRPr="002D1AF3">
        <w:rPr>
          <w:rFonts w:ascii="Times New Roman" w:hAnsi="Times New Roman" w:cs="Times New Roman"/>
          <w:sz w:val="24"/>
          <w:szCs w:val="24"/>
        </w:rPr>
        <w:t xml:space="preserve">letter to </w:t>
      </w:r>
      <w:r>
        <w:rPr>
          <w:rFonts w:ascii="Times New Roman" w:hAnsi="Times New Roman" w:cs="Times New Roman"/>
          <w:sz w:val="24"/>
          <w:szCs w:val="24"/>
        </w:rPr>
        <w:t xml:space="preserve">Seabury, </w:t>
      </w:r>
      <w:r w:rsidRPr="002D1AF3">
        <w:rPr>
          <w:rFonts w:ascii="Times New Roman" w:hAnsi="Times New Roman" w:cs="Times New Roman"/>
          <w:sz w:val="24"/>
          <w:szCs w:val="24"/>
        </w:rPr>
        <w:t>quoting here from Clara Loveland’s seminal book on the founding of TEC:</w:t>
      </w:r>
    </w:p>
    <w:p w:rsidR="002D1AF3" w:rsidRPr="002D1AF3" w:rsidRDefault="002D1AF3" w:rsidP="002D1AF3">
      <w:pPr>
        <w:ind w:left="720"/>
        <w:jc w:val="both"/>
        <w:rPr>
          <w:rFonts w:ascii="Times New Roman" w:hAnsi="Times New Roman" w:cs="Times New Roman"/>
          <w:sz w:val="24"/>
          <w:szCs w:val="24"/>
        </w:rPr>
      </w:pPr>
      <w:r w:rsidRPr="002D1AF3">
        <w:rPr>
          <w:rFonts w:ascii="Times New Roman" w:hAnsi="Times New Roman" w:cs="Times New Roman"/>
          <w:sz w:val="24"/>
          <w:szCs w:val="24"/>
        </w:rPr>
        <w:t>Bishop White insisted that the Convention had no authority to reject the English Prayer Book as the basis for their revisions, adding that</w:t>
      </w:r>
    </w:p>
    <w:p w:rsidR="002D1AF3" w:rsidRDefault="002D1AF3" w:rsidP="002D1AF3">
      <w:pPr>
        <w:ind w:left="720"/>
        <w:jc w:val="both"/>
        <w:rPr>
          <w:rFonts w:ascii="Times New Roman" w:hAnsi="Times New Roman" w:cs="Times New Roman"/>
          <w:sz w:val="24"/>
          <w:szCs w:val="24"/>
        </w:rPr>
      </w:pPr>
      <w:proofErr w:type="spellStart"/>
      <w:r w:rsidRPr="002D1AF3">
        <w:rPr>
          <w:rFonts w:ascii="Times New Roman" w:hAnsi="Times New Roman" w:cs="Times New Roman"/>
          <w:sz w:val="24"/>
          <w:szCs w:val="24"/>
        </w:rPr>
        <w:t>its</w:t>
      </w:r>
      <w:proofErr w:type="spellEnd"/>
      <w:r w:rsidRPr="002D1AF3">
        <w:rPr>
          <w:rFonts w:ascii="Times New Roman" w:hAnsi="Times New Roman" w:cs="Times New Roman"/>
          <w:sz w:val="24"/>
          <w:szCs w:val="24"/>
        </w:rPr>
        <w:t xml:space="preserve"> being the general opinion of the majority of the members of the late General Convention, will never justify me to my own conscience, in making it a ground for conduct. On the contrary, I hold it to be my duty to God and the Church to presume the opposite….</w:t>
      </w:r>
    </w:p>
    <w:p w:rsidR="002D1AF3" w:rsidRPr="002D1AF3" w:rsidRDefault="00EB19CF" w:rsidP="002D1AF3">
      <w:pPr>
        <w:jc w:val="both"/>
        <w:rPr>
          <w:rFonts w:ascii="Times New Roman" w:hAnsi="Times New Roman" w:cs="Times New Roman"/>
          <w:sz w:val="24"/>
          <w:szCs w:val="24"/>
        </w:rPr>
      </w:pPr>
      <w:r>
        <w:rPr>
          <w:rFonts w:ascii="Times New Roman" w:hAnsi="Times New Roman" w:cs="Times New Roman"/>
          <w:sz w:val="24"/>
          <w:szCs w:val="24"/>
        </w:rPr>
        <w:t xml:space="preserve">Finally, we end by noting the first point we made in our essay to which Haller objects.  There is a New Episcopal Church, which he surely reflects.  It has cut the constraints tethering it to constitutional governance and Prayer Book worship and is soaring </w:t>
      </w:r>
      <w:proofErr w:type="spellStart"/>
      <w:r>
        <w:rPr>
          <w:rFonts w:ascii="Times New Roman" w:hAnsi="Times New Roman" w:cs="Times New Roman"/>
          <w:sz w:val="24"/>
          <w:szCs w:val="24"/>
        </w:rPr>
        <w:t>Icarus</w:t>
      </w:r>
      <w:proofErr w:type="spellEnd"/>
      <w:r>
        <w:rPr>
          <w:rFonts w:ascii="Times New Roman" w:hAnsi="Times New Roman" w:cs="Times New Roman"/>
          <w:sz w:val="24"/>
          <w:szCs w:val="24"/>
        </w:rPr>
        <w:t xml:space="preserve">-like to ever greater heights.  What could possibly go wrong? </w:t>
      </w:r>
    </w:p>
    <w:p w:rsidR="002D1AF3" w:rsidRDefault="002D1AF3" w:rsidP="000F56D5">
      <w:pPr>
        <w:jc w:val="both"/>
        <w:rPr>
          <w:rFonts w:ascii="Times New Roman" w:hAnsi="Times New Roman" w:cs="Times New Roman"/>
          <w:sz w:val="24"/>
          <w:szCs w:val="24"/>
        </w:rPr>
      </w:pPr>
    </w:p>
    <w:p w:rsidR="006D3176" w:rsidRDefault="006D3176" w:rsidP="000F56D5">
      <w:pPr>
        <w:jc w:val="both"/>
        <w:rPr>
          <w:rFonts w:ascii="Times New Roman" w:hAnsi="Times New Roman" w:cs="Times New Roman"/>
          <w:sz w:val="24"/>
          <w:szCs w:val="24"/>
        </w:rPr>
      </w:pPr>
    </w:p>
    <w:p w:rsidR="00C3020C" w:rsidRPr="004C30B7" w:rsidRDefault="00C3020C" w:rsidP="000F56D5">
      <w:pPr>
        <w:jc w:val="both"/>
        <w:rPr>
          <w:rFonts w:ascii="Times New Roman" w:hAnsi="Times New Roman" w:cs="Times New Roman"/>
          <w:sz w:val="24"/>
          <w:szCs w:val="24"/>
        </w:rPr>
      </w:pPr>
    </w:p>
    <w:sectPr w:rsidR="00C3020C" w:rsidRPr="004C30B7" w:rsidSect="00162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30B7"/>
    <w:rsid w:val="000472A9"/>
    <w:rsid w:val="000827FB"/>
    <w:rsid w:val="000B21A6"/>
    <w:rsid w:val="000F56D5"/>
    <w:rsid w:val="00162126"/>
    <w:rsid w:val="002D1AF3"/>
    <w:rsid w:val="00345089"/>
    <w:rsid w:val="004C30B7"/>
    <w:rsid w:val="006262AA"/>
    <w:rsid w:val="006D3176"/>
    <w:rsid w:val="007C159C"/>
    <w:rsid w:val="00803370"/>
    <w:rsid w:val="00C3020C"/>
    <w:rsid w:val="00D935CA"/>
    <w:rsid w:val="00E3148E"/>
    <w:rsid w:val="00EB19CF"/>
    <w:rsid w:val="00F2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2A9"/>
    <w:rPr>
      <w:color w:val="0000FF" w:themeColor="hyperlink"/>
      <w:u w:val="single"/>
    </w:rPr>
  </w:style>
  <w:style w:type="paragraph" w:styleId="NormalWeb">
    <w:name w:val="Normal (Web)"/>
    <w:basedOn w:val="Normal"/>
    <w:uiPriority w:val="99"/>
    <w:semiHidden/>
    <w:unhideWhenUsed/>
    <w:rsid w:val="002D1AF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249613">
      <w:bodyDiv w:val="1"/>
      <w:marLeft w:val="0"/>
      <w:marRight w:val="0"/>
      <w:marTop w:val="0"/>
      <w:marBottom w:val="0"/>
      <w:divBdr>
        <w:top w:val="none" w:sz="0" w:space="0" w:color="auto"/>
        <w:left w:val="none" w:sz="0" w:space="0" w:color="auto"/>
        <w:bottom w:val="none" w:sz="0" w:space="0" w:color="auto"/>
        <w:right w:val="none" w:sz="0" w:space="0" w:color="auto"/>
      </w:divBdr>
      <w:divsChild>
        <w:div w:id="119507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139176">
      <w:bodyDiv w:val="1"/>
      <w:marLeft w:val="0"/>
      <w:marRight w:val="0"/>
      <w:marTop w:val="0"/>
      <w:marBottom w:val="0"/>
      <w:divBdr>
        <w:top w:val="none" w:sz="0" w:space="0" w:color="auto"/>
        <w:left w:val="none" w:sz="0" w:space="0" w:color="auto"/>
        <w:bottom w:val="none" w:sz="0" w:space="0" w:color="auto"/>
        <w:right w:val="none" w:sz="0" w:space="0" w:color="auto"/>
      </w:divBdr>
      <w:divsChild>
        <w:div w:id="27101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dcterms:created xsi:type="dcterms:W3CDTF">2015-04-20T12:35:00Z</dcterms:created>
  <dcterms:modified xsi:type="dcterms:W3CDTF">2015-04-20T14:31:00Z</dcterms:modified>
</cp:coreProperties>
</file>