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FEC" w:rsidRPr="00246FEC" w:rsidRDefault="00246FEC" w:rsidP="00246FEC">
      <w:pPr>
        <w:rPr>
          <w:rFonts w:ascii="Times New Roman" w:hAnsi="Times New Roman" w:cs="Times New Roman"/>
          <w:b/>
          <w:sz w:val="24"/>
          <w:szCs w:val="24"/>
        </w:rPr>
      </w:pPr>
      <w:r w:rsidRPr="00246FEC">
        <w:rPr>
          <w:rFonts w:ascii="Times New Roman" w:hAnsi="Times New Roman" w:cs="Times New Roman"/>
          <w:b/>
          <w:sz w:val="24"/>
          <w:szCs w:val="24"/>
        </w:rPr>
        <w:t>The Episcopal Church and the New Episcopal Church</w:t>
      </w:r>
    </w:p>
    <w:p w:rsidR="00246FEC" w:rsidRPr="00246FEC" w:rsidRDefault="00246FEC" w:rsidP="00246FEC">
      <w:pPr>
        <w:rPr>
          <w:rFonts w:ascii="Times New Roman" w:hAnsi="Times New Roman" w:cs="Times New Roman"/>
          <w:sz w:val="24"/>
          <w:szCs w:val="24"/>
        </w:rPr>
      </w:pPr>
    </w:p>
    <w:p w:rsidR="00246FEC" w:rsidRPr="00246FEC" w:rsidRDefault="00246FEC" w:rsidP="00246FEC">
      <w:pPr>
        <w:pStyle w:val="ListParagraph"/>
        <w:numPr>
          <w:ilvl w:val="0"/>
          <w:numId w:val="3"/>
        </w:numPr>
        <w:rPr>
          <w:rFonts w:ascii="Times New Roman" w:hAnsi="Times New Roman" w:cs="Times New Roman"/>
          <w:sz w:val="24"/>
          <w:szCs w:val="24"/>
        </w:rPr>
      </w:pPr>
    </w:p>
    <w:p w:rsidR="00246FEC" w:rsidRPr="00246FEC" w:rsidRDefault="00246FEC" w:rsidP="00246FEC">
      <w:pPr>
        <w:rPr>
          <w:rFonts w:ascii="Times New Roman" w:hAnsi="Times New Roman" w:cs="Times New Roman"/>
          <w:sz w:val="24"/>
          <w:szCs w:val="24"/>
        </w:rPr>
      </w:pPr>
      <w:r w:rsidRPr="00246FEC">
        <w:rPr>
          <w:rFonts w:ascii="Times New Roman" w:hAnsi="Times New Roman" w:cs="Times New Roman"/>
          <w:sz w:val="24"/>
          <w:szCs w:val="24"/>
        </w:rPr>
        <w:t>In 2013 an “Ecclesiology Committee of the House of Bishops” produced something they called “A Primer on the Government of the Episcopal Church and its underlying theology.” We have evaluated the document in detail at the Anglican Communion Institute website.</w:t>
      </w:r>
      <w:r w:rsidRPr="00246FEC">
        <w:rPr>
          <w:rStyle w:val="FootnoteReference"/>
          <w:rFonts w:ascii="Times New Roman" w:hAnsi="Times New Roman" w:cs="Times New Roman"/>
          <w:sz w:val="24"/>
          <w:szCs w:val="24"/>
        </w:rPr>
        <w:footnoteReference w:id="1"/>
      </w:r>
      <w:r w:rsidRPr="00246FEC">
        <w:rPr>
          <w:rFonts w:ascii="Times New Roman" w:hAnsi="Times New Roman" w:cs="Times New Roman"/>
          <w:sz w:val="24"/>
          <w:szCs w:val="24"/>
        </w:rPr>
        <w:t xml:space="preserve"> Recently the document appeared again, this time at a House of Bishops meeting in North Carolina.</w:t>
      </w:r>
      <w:r w:rsidRPr="00246FEC">
        <w:rPr>
          <w:rStyle w:val="FootnoteReference"/>
          <w:rFonts w:ascii="Times New Roman" w:hAnsi="Times New Roman" w:cs="Times New Roman"/>
          <w:sz w:val="24"/>
          <w:szCs w:val="24"/>
        </w:rPr>
        <w:footnoteReference w:id="2"/>
      </w:r>
      <w:r w:rsidRPr="00246FEC">
        <w:rPr>
          <w:rFonts w:ascii="Times New Roman" w:hAnsi="Times New Roman" w:cs="Times New Roman"/>
          <w:sz w:val="24"/>
          <w:szCs w:val="24"/>
        </w:rPr>
        <w:t xml:space="preserve"> What is the purpose of trying to secure a place for this understanding of TEC’s polity at this point in time? </w:t>
      </w:r>
    </w:p>
    <w:p w:rsidR="00246FEC" w:rsidRPr="00246FEC" w:rsidRDefault="00246FEC" w:rsidP="00246FEC">
      <w:pPr>
        <w:rPr>
          <w:rFonts w:ascii="Times New Roman" w:hAnsi="Times New Roman" w:cs="Times New Roman"/>
          <w:sz w:val="24"/>
          <w:szCs w:val="24"/>
        </w:rPr>
      </w:pPr>
      <w:r w:rsidRPr="00246FEC">
        <w:rPr>
          <w:rFonts w:ascii="Times New Roman" w:hAnsi="Times New Roman" w:cs="Times New Roman"/>
          <w:sz w:val="24"/>
          <w:szCs w:val="24"/>
        </w:rPr>
        <w:t>Leaving aside a possible pragmatic purpose (to aid in litigation), one thing that emerges in the course of the sixteen-page discussion is an assertion of the “supreme authority” of General Convention (p. 9). Yet one might rightly ask in just what sense this might be so</w:t>
      </w:r>
      <w:r w:rsidRPr="00246FEC">
        <w:rPr>
          <w:rFonts w:ascii="Times New Roman" w:hAnsi="Times New Roman" w:cs="Times New Roman"/>
          <w:i/>
          <w:sz w:val="24"/>
          <w:szCs w:val="24"/>
        </w:rPr>
        <w:t xml:space="preserve">, given the presence within the Episcopal Church of a Constitution, which itself defines the role of General Convention, Bishops, the Book of Common Prayer, and other obvious touchstones of authority, and which cannot be deviated from by canon or General Convention action. </w:t>
      </w:r>
      <w:r w:rsidRPr="00246FEC">
        <w:rPr>
          <w:rFonts w:ascii="Times New Roman" w:hAnsi="Times New Roman" w:cs="Times New Roman"/>
          <w:sz w:val="24"/>
          <w:szCs w:val="24"/>
        </w:rPr>
        <w:t xml:space="preserve">Indeed, the Primer itself adverts to this when it speaks of General Convention’s conduct being subject to “parameters” (p. 9). </w:t>
      </w:r>
    </w:p>
    <w:p w:rsidR="00246FEC" w:rsidRPr="00246FEC" w:rsidRDefault="00246FEC" w:rsidP="00246FEC">
      <w:pPr>
        <w:rPr>
          <w:rFonts w:ascii="Times New Roman" w:hAnsi="Times New Roman" w:cs="Times New Roman"/>
          <w:sz w:val="24"/>
          <w:szCs w:val="24"/>
        </w:rPr>
      </w:pPr>
      <w:r w:rsidRPr="00246FEC">
        <w:rPr>
          <w:rFonts w:ascii="Times New Roman" w:hAnsi="Times New Roman" w:cs="Times New Roman"/>
          <w:sz w:val="24"/>
          <w:szCs w:val="24"/>
        </w:rPr>
        <w:t>The Primer opines that the “supreme authority” of General Convention is to be contrasted with a “state’s rights” model. Yet the obvious point is that when individual Bishops or Dioceses appeal to authority, they do so with reference to the Constitution of TEC. There is nothing “state’s rights” about this appeal but rather it is a solemn assertion of the authority of the TEC Constitution itself. Individual diocesan constitutions and canons make explicit reference to the TEC Constitution and solemnly declare it to be the authority to which the dioceses agree to subject their own diocesan affairs.</w:t>
      </w:r>
    </w:p>
    <w:p w:rsidR="00246FEC" w:rsidRPr="00246FEC" w:rsidRDefault="00246FEC" w:rsidP="00246FEC">
      <w:pPr>
        <w:rPr>
          <w:rFonts w:ascii="Times New Roman" w:hAnsi="Times New Roman" w:cs="Times New Roman"/>
          <w:sz w:val="24"/>
          <w:szCs w:val="24"/>
        </w:rPr>
      </w:pPr>
      <w:r w:rsidRPr="00246FEC">
        <w:rPr>
          <w:rFonts w:ascii="Times New Roman" w:hAnsi="Times New Roman" w:cs="Times New Roman"/>
          <w:sz w:val="24"/>
          <w:szCs w:val="24"/>
        </w:rPr>
        <w:t xml:space="preserve">The point is otherwise made at another juncture in the Primer when it states, </w:t>
      </w:r>
    </w:p>
    <w:p w:rsidR="00246FEC" w:rsidRPr="00246FEC" w:rsidRDefault="00246FEC" w:rsidP="00246FEC">
      <w:pPr>
        <w:rPr>
          <w:rFonts w:ascii="Times New Roman" w:hAnsi="Times New Roman" w:cs="Times New Roman"/>
          <w:sz w:val="24"/>
          <w:szCs w:val="24"/>
        </w:rPr>
      </w:pPr>
      <w:r w:rsidRPr="00246FEC">
        <w:rPr>
          <w:rFonts w:ascii="Times New Roman" w:hAnsi="Times New Roman" w:cs="Times New Roman"/>
          <w:sz w:val="24"/>
          <w:szCs w:val="24"/>
        </w:rPr>
        <w:t xml:space="preserve">“…the Prayer Book has faithfully continued to embody the essential understanding of                     Christian faith as prayed by the faithful: Episcopalians are a biblical people gathered by word and sacrament. </w:t>
      </w:r>
      <w:proofErr w:type="gramStart"/>
      <w:r w:rsidRPr="00246FEC">
        <w:rPr>
          <w:rFonts w:ascii="Times New Roman" w:hAnsi="Times New Roman" w:cs="Times New Roman"/>
          <w:sz w:val="24"/>
          <w:szCs w:val="24"/>
        </w:rPr>
        <w:t>We are a people of catholic order and polity as reflected in the Ordinal and in the conduct of our various liturgies” (p. 8).</w:t>
      </w:r>
      <w:proofErr w:type="gramEnd"/>
    </w:p>
    <w:p w:rsidR="00246FEC" w:rsidRPr="00246FEC" w:rsidRDefault="00246FEC" w:rsidP="00246FEC">
      <w:pPr>
        <w:rPr>
          <w:rFonts w:ascii="Times New Roman" w:hAnsi="Times New Roman" w:cs="Times New Roman"/>
          <w:sz w:val="24"/>
          <w:szCs w:val="24"/>
        </w:rPr>
      </w:pPr>
      <w:r w:rsidRPr="00246FEC">
        <w:rPr>
          <w:rFonts w:ascii="Times New Roman" w:hAnsi="Times New Roman" w:cs="Times New Roman"/>
          <w:sz w:val="24"/>
          <w:szCs w:val="24"/>
        </w:rPr>
        <w:t xml:space="preserve">The BCP is </w:t>
      </w:r>
      <w:r w:rsidRPr="00246FEC">
        <w:rPr>
          <w:rFonts w:ascii="Times New Roman" w:hAnsi="Times New Roman" w:cs="Times New Roman"/>
          <w:i/>
          <w:sz w:val="24"/>
          <w:szCs w:val="24"/>
        </w:rPr>
        <w:t>itself a constitutional document</w:t>
      </w:r>
      <w:r w:rsidRPr="00246FEC">
        <w:rPr>
          <w:rFonts w:ascii="Times New Roman" w:hAnsi="Times New Roman" w:cs="Times New Roman"/>
          <w:sz w:val="24"/>
          <w:szCs w:val="24"/>
        </w:rPr>
        <w:t xml:space="preserve">. It does indeed declare via its Ordinal the responsibility of Bishops, but their responsibility is to “share with your fellow bishops in the government of the whole Church” (BCP, p. 518.  The Ordinal never mentions General </w:t>
      </w:r>
      <w:r w:rsidRPr="00246FEC">
        <w:rPr>
          <w:rFonts w:ascii="Times New Roman" w:hAnsi="Times New Roman" w:cs="Times New Roman"/>
          <w:sz w:val="24"/>
          <w:szCs w:val="24"/>
        </w:rPr>
        <w:lastRenderedPageBreak/>
        <w:t xml:space="preserve">Convention, much less </w:t>
      </w:r>
      <w:proofErr w:type="gramStart"/>
      <w:r w:rsidRPr="00246FEC">
        <w:rPr>
          <w:rFonts w:ascii="Times New Roman" w:hAnsi="Times New Roman" w:cs="Times New Roman"/>
          <w:sz w:val="24"/>
          <w:szCs w:val="24"/>
        </w:rPr>
        <w:t>its</w:t>
      </w:r>
      <w:proofErr w:type="gramEnd"/>
      <w:r w:rsidRPr="00246FEC">
        <w:rPr>
          <w:rFonts w:ascii="Times New Roman" w:hAnsi="Times New Roman" w:cs="Times New Roman"/>
          <w:sz w:val="24"/>
          <w:szCs w:val="24"/>
        </w:rPr>
        <w:t xml:space="preserve"> supposed “supremacy.” And all of this is done, so the Constitution holds, in agreement with Holy Scripture. The Constitution is a solemn agreement through time to conduct our affairs in catholic order. This is why amendment of either the Constitution </w:t>
      </w:r>
      <w:proofErr w:type="spellStart"/>
      <w:proofErr w:type="gramStart"/>
      <w:r w:rsidRPr="00246FEC">
        <w:rPr>
          <w:rFonts w:ascii="Times New Roman" w:hAnsi="Times New Roman" w:cs="Times New Roman"/>
          <w:sz w:val="24"/>
          <w:szCs w:val="24"/>
        </w:rPr>
        <w:t>ot</w:t>
      </w:r>
      <w:proofErr w:type="spellEnd"/>
      <w:proofErr w:type="gramEnd"/>
      <w:r w:rsidRPr="00246FEC">
        <w:rPr>
          <w:rFonts w:ascii="Times New Roman" w:hAnsi="Times New Roman" w:cs="Times New Roman"/>
          <w:sz w:val="24"/>
          <w:szCs w:val="24"/>
        </w:rPr>
        <w:t xml:space="preserve"> the BCP would require two successive Conventions: </w:t>
      </w:r>
      <w:r w:rsidRPr="00246FEC">
        <w:rPr>
          <w:rFonts w:ascii="Times New Roman" w:hAnsi="Times New Roman" w:cs="Times New Roman"/>
          <w:i/>
          <w:sz w:val="24"/>
          <w:szCs w:val="24"/>
        </w:rPr>
        <w:t>to declare thereby that the Book of Common Prayer and its declaration of the faith catholic are not subject to ad hoc alteration, any more than is the Constitution itself</w:t>
      </w:r>
      <w:r w:rsidRPr="00246FEC">
        <w:rPr>
          <w:rFonts w:ascii="Times New Roman" w:hAnsi="Times New Roman" w:cs="Times New Roman"/>
          <w:sz w:val="24"/>
          <w:szCs w:val="24"/>
        </w:rPr>
        <w:t xml:space="preserve">. </w:t>
      </w:r>
    </w:p>
    <w:p w:rsidR="00246FEC" w:rsidRPr="00246FEC" w:rsidRDefault="00246FEC" w:rsidP="00246FEC">
      <w:pPr>
        <w:rPr>
          <w:rFonts w:ascii="Times New Roman" w:hAnsi="Times New Roman" w:cs="Times New Roman"/>
          <w:sz w:val="24"/>
          <w:szCs w:val="24"/>
        </w:rPr>
      </w:pPr>
      <w:r w:rsidRPr="00246FEC">
        <w:rPr>
          <w:rFonts w:ascii="Times New Roman" w:hAnsi="Times New Roman" w:cs="Times New Roman"/>
          <w:sz w:val="24"/>
          <w:szCs w:val="24"/>
        </w:rPr>
        <w:t xml:space="preserve">With this as backdrop, we can </w:t>
      </w:r>
      <w:proofErr w:type="gramStart"/>
      <w:r w:rsidRPr="00246FEC">
        <w:rPr>
          <w:rFonts w:ascii="Times New Roman" w:hAnsi="Times New Roman" w:cs="Times New Roman"/>
          <w:sz w:val="24"/>
          <w:szCs w:val="24"/>
        </w:rPr>
        <w:t>now better understand why we are witnessing the emergence of a New Episcopal Church, which conforms neither</w:t>
      </w:r>
      <w:proofErr w:type="gramEnd"/>
      <w:r w:rsidRPr="00246FEC">
        <w:rPr>
          <w:rFonts w:ascii="Times New Roman" w:hAnsi="Times New Roman" w:cs="Times New Roman"/>
          <w:sz w:val="24"/>
          <w:szCs w:val="24"/>
        </w:rPr>
        <w:t xml:space="preserve"> to the historical TEC nor even the confused one set forth in the Primer. The New Episcopal Church (henceforth NEC) retains a Constitution, Bishops, a General Convention, and even Holy Scripture, but these take on an altogether different character than in the erstwhile TEC. NEC has allowed </w:t>
      </w:r>
      <w:proofErr w:type="gramStart"/>
      <w:r w:rsidRPr="00246FEC">
        <w:rPr>
          <w:rFonts w:ascii="Times New Roman" w:hAnsi="Times New Roman" w:cs="Times New Roman"/>
          <w:sz w:val="24"/>
          <w:szCs w:val="24"/>
        </w:rPr>
        <w:t>to emerge</w:t>
      </w:r>
      <w:proofErr w:type="gramEnd"/>
      <w:r w:rsidRPr="00246FEC">
        <w:rPr>
          <w:rFonts w:ascii="Times New Roman" w:hAnsi="Times New Roman" w:cs="Times New Roman"/>
          <w:sz w:val="24"/>
          <w:szCs w:val="24"/>
        </w:rPr>
        <w:t xml:space="preserve"> a Presiding Bishop with disciplinary authority over fellow Bishops – something the Constitution does not permit. NEC no longer sees Bishops as obedient to Holy Scripture by solemn oath, as set forth in the BCP, but rather as agents of General Convention actions. This is made clear in respect of proposed same-sex blessing and marriage rites, where the role given to them is now obviated. </w:t>
      </w:r>
      <w:r w:rsidRPr="00246FEC">
        <w:rPr>
          <w:rStyle w:val="FootnoteReference"/>
          <w:rFonts w:ascii="Times New Roman" w:hAnsi="Times New Roman" w:cs="Times New Roman"/>
          <w:sz w:val="24"/>
          <w:szCs w:val="24"/>
        </w:rPr>
        <w:footnoteReference w:id="3"/>
      </w:r>
      <w:r w:rsidRPr="00246FEC">
        <w:rPr>
          <w:rFonts w:ascii="Times New Roman" w:hAnsi="Times New Roman" w:cs="Times New Roman"/>
          <w:sz w:val="24"/>
          <w:szCs w:val="24"/>
        </w:rPr>
        <w:t xml:space="preserve">The Constitution remains but is no longer the governor of General Convention actions, but is somehow identical with whatever General Convention may decide to do. </w:t>
      </w:r>
    </w:p>
    <w:p w:rsidR="00246FEC" w:rsidRPr="00246FEC" w:rsidRDefault="00246FEC" w:rsidP="00246FEC">
      <w:pPr>
        <w:rPr>
          <w:rFonts w:ascii="Times New Roman" w:hAnsi="Times New Roman" w:cs="Times New Roman"/>
          <w:sz w:val="24"/>
          <w:szCs w:val="24"/>
        </w:rPr>
      </w:pPr>
      <w:r w:rsidRPr="00246FEC">
        <w:rPr>
          <w:rFonts w:ascii="Times New Roman" w:hAnsi="Times New Roman" w:cs="Times New Roman"/>
          <w:sz w:val="24"/>
          <w:szCs w:val="24"/>
        </w:rPr>
        <w:t xml:space="preserve">The problem may be seen in its more acute form in the manner in which the Book of Common Prayer, </w:t>
      </w:r>
      <w:r w:rsidRPr="00246FEC">
        <w:rPr>
          <w:rFonts w:ascii="Times New Roman" w:hAnsi="Times New Roman" w:cs="Times New Roman"/>
          <w:i/>
          <w:sz w:val="24"/>
          <w:szCs w:val="24"/>
        </w:rPr>
        <w:t xml:space="preserve">itself a constitutional document which is not to be altered except by </w:t>
      </w:r>
      <w:proofErr w:type="gramStart"/>
      <w:r w:rsidRPr="00246FEC">
        <w:rPr>
          <w:rFonts w:ascii="Times New Roman" w:hAnsi="Times New Roman" w:cs="Times New Roman"/>
          <w:i/>
          <w:sz w:val="24"/>
          <w:szCs w:val="24"/>
        </w:rPr>
        <w:t>affirmative  votes</w:t>
      </w:r>
      <w:proofErr w:type="gramEnd"/>
      <w:r w:rsidRPr="00246FEC">
        <w:rPr>
          <w:rFonts w:ascii="Times New Roman" w:hAnsi="Times New Roman" w:cs="Times New Roman"/>
          <w:i/>
          <w:sz w:val="24"/>
          <w:szCs w:val="24"/>
        </w:rPr>
        <w:t xml:space="preserve"> by orders of “a majority of the Dioceses entitled to representation” at  two successive GCs</w:t>
      </w:r>
      <w:r w:rsidRPr="00246FEC">
        <w:rPr>
          <w:rFonts w:ascii="Times New Roman" w:hAnsi="Times New Roman" w:cs="Times New Roman"/>
          <w:sz w:val="24"/>
          <w:szCs w:val="24"/>
        </w:rPr>
        <w:t>, has now become a vague placeholder of yesterday’s temporary and transitory convictions. Even the Primer stays away from this obvious problem area in the quote above, though we may see a hint of it in the language which concludes the quote, “…of our various liturgies.” What began as an assertion of the unique and catholic status of the Book of Common Prayers (and its Ordinal) which embodies “the essential understanding of Christian faith as prayed by faithful Episcopalians” (</w:t>
      </w:r>
      <w:proofErr w:type="spellStart"/>
      <w:r w:rsidRPr="00246FEC">
        <w:rPr>
          <w:rFonts w:ascii="Times New Roman" w:hAnsi="Times New Roman" w:cs="Times New Roman"/>
          <w:i/>
          <w:sz w:val="24"/>
          <w:szCs w:val="24"/>
        </w:rPr>
        <w:t>lex</w:t>
      </w:r>
      <w:proofErr w:type="spellEnd"/>
      <w:r w:rsidRPr="00246FEC">
        <w:rPr>
          <w:rFonts w:ascii="Times New Roman" w:hAnsi="Times New Roman" w:cs="Times New Roman"/>
          <w:i/>
          <w:sz w:val="24"/>
          <w:szCs w:val="24"/>
        </w:rPr>
        <w:t xml:space="preserve"> </w:t>
      </w:r>
      <w:proofErr w:type="spellStart"/>
      <w:r w:rsidRPr="00246FEC">
        <w:rPr>
          <w:rFonts w:ascii="Times New Roman" w:hAnsi="Times New Roman" w:cs="Times New Roman"/>
          <w:i/>
          <w:sz w:val="24"/>
          <w:szCs w:val="24"/>
        </w:rPr>
        <w:t>credendi</w:t>
      </w:r>
      <w:proofErr w:type="spellEnd"/>
      <w:r w:rsidRPr="00246FEC">
        <w:rPr>
          <w:rFonts w:ascii="Times New Roman" w:hAnsi="Times New Roman" w:cs="Times New Roman"/>
          <w:i/>
          <w:sz w:val="24"/>
          <w:szCs w:val="24"/>
        </w:rPr>
        <w:t xml:space="preserve">, </w:t>
      </w:r>
      <w:proofErr w:type="spellStart"/>
      <w:r w:rsidRPr="00246FEC">
        <w:rPr>
          <w:rFonts w:ascii="Times New Roman" w:hAnsi="Times New Roman" w:cs="Times New Roman"/>
          <w:i/>
          <w:sz w:val="24"/>
          <w:szCs w:val="24"/>
        </w:rPr>
        <w:t>lex</w:t>
      </w:r>
      <w:proofErr w:type="spellEnd"/>
      <w:r w:rsidRPr="00246FEC">
        <w:rPr>
          <w:rFonts w:ascii="Times New Roman" w:hAnsi="Times New Roman" w:cs="Times New Roman"/>
          <w:i/>
          <w:sz w:val="24"/>
          <w:szCs w:val="24"/>
        </w:rPr>
        <w:t xml:space="preserve"> </w:t>
      </w:r>
      <w:proofErr w:type="spellStart"/>
      <w:r w:rsidRPr="00246FEC">
        <w:rPr>
          <w:rFonts w:ascii="Times New Roman" w:hAnsi="Times New Roman" w:cs="Times New Roman"/>
          <w:i/>
          <w:sz w:val="24"/>
          <w:szCs w:val="24"/>
        </w:rPr>
        <w:t>orandi</w:t>
      </w:r>
      <w:proofErr w:type="spellEnd"/>
      <w:r w:rsidRPr="00246FEC">
        <w:rPr>
          <w:rFonts w:ascii="Times New Roman" w:hAnsi="Times New Roman" w:cs="Times New Roman"/>
          <w:sz w:val="24"/>
          <w:szCs w:val="24"/>
        </w:rPr>
        <w:t xml:space="preserve">) appears to slide into a very different context: various liturgies emerging to give expression to what we now believe and hold to be so, apart from subjection to the Constitution and the letter of the Book of Common Prayer. This produces not catholicity but each new generation’s assertion of its freedom to confess and pray and pronounce and hear scripture’s word </w:t>
      </w:r>
      <w:r w:rsidRPr="00246FEC">
        <w:rPr>
          <w:rFonts w:ascii="Times New Roman" w:hAnsi="Times New Roman" w:cs="Times New Roman"/>
          <w:i/>
          <w:sz w:val="24"/>
          <w:szCs w:val="24"/>
        </w:rPr>
        <w:t>on its own terms</w:t>
      </w:r>
      <w:r w:rsidRPr="00246FEC">
        <w:rPr>
          <w:rFonts w:ascii="Times New Roman" w:hAnsi="Times New Roman" w:cs="Times New Roman"/>
          <w:sz w:val="24"/>
          <w:szCs w:val="24"/>
        </w:rPr>
        <w:t xml:space="preserve">.   </w:t>
      </w:r>
    </w:p>
    <w:p w:rsidR="00246FEC" w:rsidRPr="00246FEC" w:rsidRDefault="00246FEC" w:rsidP="00246FEC">
      <w:pPr>
        <w:rPr>
          <w:rFonts w:ascii="Times New Roman" w:hAnsi="Times New Roman" w:cs="Times New Roman"/>
          <w:sz w:val="24"/>
          <w:szCs w:val="24"/>
        </w:rPr>
      </w:pPr>
      <w:r w:rsidRPr="00246FEC">
        <w:rPr>
          <w:rFonts w:ascii="Times New Roman" w:hAnsi="Times New Roman" w:cs="Times New Roman"/>
          <w:sz w:val="24"/>
          <w:szCs w:val="24"/>
        </w:rPr>
        <w:t xml:space="preserve">In the review to follow, we can see how the alteration of our historical, catholic understanding of the Constitution and Book of Common Prayer has created in its wake two different Episcopal Churches. This has come in the form of supplementation and aggregation of rites to be used alongside the BCP, to the degree that that BCP itself begins to disappear in a rear-view mirror. Minimally, it leads to a view of the BCP as something like a starting point, or ignition switch, on new rites necessary to make sense of what has in consequence become an erstwhile book. No </w:t>
      </w:r>
      <w:r w:rsidRPr="00246FEC">
        <w:rPr>
          <w:rFonts w:ascii="Times New Roman" w:hAnsi="Times New Roman" w:cs="Times New Roman"/>
          <w:sz w:val="24"/>
          <w:szCs w:val="24"/>
        </w:rPr>
        <w:lastRenderedPageBreak/>
        <w:t xml:space="preserve">longer necessary is constitutionally ordered Prayer Book revision, </w:t>
      </w:r>
      <w:r w:rsidRPr="00246FEC">
        <w:rPr>
          <w:rFonts w:ascii="Times New Roman" w:hAnsi="Times New Roman" w:cs="Times New Roman"/>
          <w:i/>
          <w:sz w:val="24"/>
          <w:szCs w:val="24"/>
        </w:rPr>
        <w:t>because the BCP doesn’t hold any specific claim that would necessitate such revision anyway</w:t>
      </w:r>
      <w:r w:rsidRPr="00246FEC">
        <w:rPr>
          <w:rFonts w:ascii="Times New Roman" w:hAnsi="Times New Roman" w:cs="Times New Roman"/>
          <w:sz w:val="24"/>
          <w:szCs w:val="24"/>
        </w:rPr>
        <w:t>.</w:t>
      </w:r>
      <w:r w:rsidRPr="00246FEC">
        <w:rPr>
          <w:rStyle w:val="FootnoteReference"/>
          <w:rFonts w:ascii="Times New Roman" w:hAnsi="Times New Roman" w:cs="Times New Roman"/>
          <w:sz w:val="24"/>
          <w:szCs w:val="24"/>
        </w:rPr>
        <w:footnoteReference w:id="4"/>
      </w:r>
      <w:r w:rsidRPr="00246FEC">
        <w:rPr>
          <w:rFonts w:ascii="Times New Roman" w:hAnsi="Times New Roman" w:cs="Times New Roman"/>
          <w:sz w:val="24"/>
          <w:szCs w:val="24"/>
        </w:rPr>
        <w:t xml:space="preserve"> </w:t>
      </w:r>
    </w:p>
    <w:p w:rsidR="00246FEC" w:rsidRPr="00246FEC" w:rsidRDefault="00246FEC" w:rsidP="00246FEC">
      <w:pPr>
        <w:rPr>
          <w:rFonts w:ascii="Times New Roman" w:hAnsi="Times New Roman" w:cs="Times New Roman"/>
          <w:sz w:val="24"/>
          <w:szCs w:val="24"/>
        </w:rPr>
      </w:pPr>
    </w:p>
    <w:p w:rsidR="00246FEC" w:rsidRPr="00246FEC" w:rsidRDefault="00246FEC" w:rsidP="00246FEC">
      <w:pPr>
        <w:pStyle w:val="ListParagraph"/>
        <w:numPr>
          <w:ilvl w:val="0"/>
          <w:numId w:val="3"/>
        </w:numPr>
        <w:rPr>
          <w:rFonts w:ascii="Times New Roman" w:hAnsi="Times New Roman" w:cs="Times New Roman"/>
          <w:sz w:val="24"/>
          <w:szCs w:val="24"/>
        </w:rPr>
      </w:pPr>
    </w:p>
    <w:p w:rsidR="00646655" w:rsidRPr="00246FEC" w:rsidRDefault="00646655" w:rsidP="002E00CF">
      <w:pPr>
        <w:spacing w:before="100" w:beforeAutospacing="1" w:after="100" w:afterAutospacing="1"/>
        <w:rPr>
          <w:rFonts w:ascii="Times New Roman" w:eastAsia="Times New Roman" w:hAnsi="Times New Roman" w:cs="Times New Roman"/>
          <w:sz w:val="24"/>
          <w:szCs w:val="24"/>
        </w:rPr>
      </w:pPr>
      <w:r w:rsidRPr="00246FEC">
        <w:rPr>
          <w:rFonts w:ascii="Times New Roman" w:eastAsia="Times New Roman" w:hAnsi="Times New Roman" w:cs="Times New Roman"/>
          <w:sz w:val="24"/>
          <w:szCs w:val="24"/>
        </w:rPr>
        <w:t xml:space="preserve">After the 2012 General Convention purported to “authorize” a rite for same sex blessings and urge its use, as adapted, for same sex marriages, we published an analysis demonstrating that this was completely unconstitutional.  This </w:t>
      </w:r>
      <w:r w:rsidR="007D7D46" w:rsidRPr="00246FEC">
        <w:rPr>
          <w:rFonts w:ascii="Times New Roman" w:eastAsia="Times New Roman" w:hAnsi="Times New Roman" w:cs="Times New Roman"/>
          <w:sz w:val="24"/>
          <w:szCs w:val="24"/>
        </w:rPr>
        <w:t xml:space="preserve">impediment </w:t>
      </w:r>
      <w:r w:rsidRPr="00246FEC">
        <w:rPr>
          <w:rFonts w:ascii="Times New Roman" w:eastAsia="Times New Roman" w:hAnsi="Times New Roman" w:cs="Times New Roman"/>
          <w:sz w:val="24"/>
          <w:szCs w:val="24"/>
        </w:rPr>
        <w:t xml:space="preserve">was not a question of constitutional voting requirements that happened not to be met; </w:t>
      </w:r>
      <w:r w:rsidR="007D7D46" w:rsidRPr="00246FEC">
        <w:rPr>
          <w:rFonts w:ascii="Times New Roman" w:eastAsia="Times New Roman" w:hAnsi="Times New Roman" w:cs="Times New Roman"/>
          <w:sz w:val="24"/>
          <w:szCs w:val="24"/>
        </w:rPr>
        <w:t xml:space="preserve">rather </w:t>
      </w:r>
      <w:r w:rsidRPr="00246FEC">
        <w:rPr>
          <w:rFonts w:ascii="Times New Roman" w:eastAsia="Times New Roman" w:hAnsi="Times New Roman" w:cs="Times New Roman"/>
          <w:sz w:val="24"/>
          <w:szCs w:val="24"/>
        </w:rPr>
        <w:t xml:space="preserve">this action by General Convention was without any constitutional basis and would have been constitutionally </w:t>
      </w:r>
      <w:r w:rsidRPr="00246FEC">
        <w:rPr>
          <w:rFonts w:ascii="Times New Roman" w:eastAsia="Times New Roman" w:hAnsi="Times New Roman" w:cs="Times New Roman"/>
          <w:i/>
          <w:sz w:val="24"/>
          <w:szCs w:val="24"/>
        </w:rPr>
        <w:t>ultra vires</w:t>
      </w:r>
      <w:r w:rsidRPr="00246FEC">
        <w:rPr>
          <w:rFonts w:ascii="Times New Roman" w:eastAsia="Times New Roman" w:hAnsi="Times New Roman" w:cs="Times New Roman"/>
          <w:sz w:val="24"/>
          <w:szCs w:val="24"/>
        </w:rPr>
        <w:t xml:space="preserve"> even if all bishops and deputies had been present and voted unanimously in favor.  This type of action is simply not within the authority of General Convention.  We summarized our analysis as follows:</w:t>
      </w:r>
    </w:p>
    <w:p w:rsidR="000F3FFC" w:rsidRPr="00246FEC" w:rsidRDefault="000F3FFC" w:rsidP="002E00CF">
      <w:pPr>
        <w:spacing w:before="100" w:beforeAutospacing="1" w:after="100" w:afterAutospacing="1"/>
        <w:ind w:left="360"/>
        <w:rPr>
          <w:rFonts w:ascii="Times New Roman" w:eastAsia="Times New Roman" w:hAnsi="Times New Roman" w:cs="Times New Roman"/>
          <w:sz w:val="24"/>
          <w:szCs w:val="24"/>
        </w:rPr>
      </w:pPr>
      <w:r w:rsidRPr="00246FEC">
        <w:rPr>
          <w:rFonts w:ascii="Times New Roman" w:eastAsia="Times New Roman" w:hAnsi="Times New Roman" w:cs="Times New Roman"/>
          <w:sz w:val="24"/>
          <w:szCs w:val="24"/>
        </w:rPr>
        <w:t xml:space="preserve">Every bishop, priest and deacon undertakes at ordination “to conform to the doctrine, discipline and </w:t>
      </w:r>
      <w:r w:rsidRPr="00246FEC">
        <w:rPr>
          <w:rFonts w:ascii="Times New Roman" w:eastAsia="Times New Roman" w:hAnsi="Times New Roman" w:cs="Times New Roman"/>
          <w:i/>
          <w:iCs/>
          <w:sz w:val="24"/>
          <w:szCs w:val="24"/>
        </w:rPr>
        <w:t>worship</w:t>
      </w:r>
      <w:r w:rsidRPr="00246FEC">
        <w:rPr>
          <w:rFonts w:ascii="Times New Roman" w:eastAsia="Times New Roman" w:hAnsi="Times New Roman" w:cs="Times New Roman"/>
          <w:sz w:val="24"/>
          <w:szCs w:val="24"/>
        </w:rPr>
        <w:t xml:space="preserve"> of The Episcopal Church.” The recent action by General Convention purporting to authorize bishops to authorize a rite for blessing same sex couples raises in an acute way the question of what exactly is the worship of The Episcopal Church to which all clergy promise to conform. We look carefully at this question below. Our conclusions can be summarized as follows:</w:t>
      </w:r>
    </w:p>
    <w:p w:rsidR="000F3FFC" w:rsidRPr="00246FEC" w:rsidRDefault="000F3FFC" w:rsidP="002E00CF">
      <w:pPr>
        <w:numPr>
          <w:ilvl w:val="0"/>
          <w:numId w:val="1"/>
        </w:numPr>
        <w:tabs>
          <w:tab w:val="clear" w:pos="720"/>
          <w:tab w:val="num" w:pos="1080"/>
        </w:tabs>
        <w:spacing w:before="100" w:beforeAutospacing="1" w:after="100" w:afterAutospacing="1"/>
        <w:ind w:left="1080"/>
        <w:rPr>
          <w:rFonts w:ascii="Times New Roman" w:eastAsia="Times New Roman" w:hAnsi="Times New Roman" w:cs="Times New Roman"/>
          <w:sz w:val="24"/>
          <w:szCs w:val="24"/>
        </w:rPr>
      </w:pPr>
      <w:r w:rsidRPr="00246FEC">
        <w:rPr>
          <w:rFonts w:ascii="Times New Roman" w:eastAsia="Times New Roman" w:hAnsi="Times New Roman" w:cs="Times New Roman"/>
          <w:sz w:val="24"/>
          <w:szCs w:val="24"/>
        </w:rPr>
        <w:t>The authority to define the worship of the Church is spelled out with precision in Article X of the Constitution.</w:t>
      </w:r>
    </w:p>
    <w:p w:rsidR="000F3FFC" w:rsidRPr="00246FEC" w:rsidRDefault="000F3FFC" w:rsidP="002E00CF">
      <w:pPr>
        <w:numPr>
          <w:ilvl w:val="0"/>
          <w:numId w:val="1"/>
        </w:numPr>
        <w:tabs>
          <w:tab w:val="clear" w:pos="720"/>
          <w:tab w:val="num" w:pos="1080"/>
        </w:tabs>
        <w:spacing w:before="100" w:beforeAutospacing="1" w:after="100" w:afterAutospacing="1"/>
        <w:ind w:left="1080"/>
        <w:rPr>
          <w:rFonts w:ascii="Times New Roman" w:eastAsia="Times New Roman" w:hAnsi="Times New Roman" w:cs="Times New Roman"/>
          <w:sz w:val="24"/>
          <w:szCs w:val="24"/>
        </w:rPr>
      </w:pPr>
      <w:r w:rsidRPr="00246FEC">
        <w:rPr>
          <w:rFonts w:ascii="Times New Roman" w:eastAsia="Times New Roman" w:hAnsi="Times New Roman" w:cs="Times New Roman"/>
          <w:sz w:val="24"/>
          <w:szCs w:val="24"/>
        </w:rPr>
        <w:t>Subject to the exceptions in Article X, the worship of the Church is that found in the Book of Common Prayer, which is to be used “in all the Dioceses.”</w:t>
      </w:r>
    </w:p>
    <w:p w:rsidR="000F3FFC" w:rsidRPr="00246FEC" w:rsidRDefault="000F3FFC" w:rsidP="002E00CF">
      <w:pPr>
        <w:numPr>
          <w:ilvl w:val="0"/>
          <w:numId w:val="1"/>
        </w:numPr>
        <w:tabs>
          <w:tab w:val="clear" w:pos="720"/>
          <w:tab w:val="num" w:pos="1080"/>
        </w:tabs>
        <w:spacing w:before="100" w:beforeAutospacing="1" w:after="100" w:afterAutospacing="1"/>
        <w:ind w:left="1080"/>
        <w:rPr>
          <w:rFonts w:ascii="Times New Roman" w:eastAsia="Times New Roman" w:hAnsi="Times New Roman" w:cs="Times New Roman"/>
          <w:sz w:val="24"/>
          <w:szCs w:val="24"/>
        </w:rPr>
      </w:pPr>
      <w:r w:rsidRPr="00246FEC">
        <w:rPr>
          <w:rFonts w:ascii="Times New Roman" w:eastAsia="Times New Roman" w:hAnsi="Times New Roman" w:cs="Times New Roman"/>
          <w:sz w:val="24"/>
          <w:szCs w:val="24"/>
        </w:rPr>
        <w:t>General Convention has authority only to amend the Book of Common Prayer or to propose revisions to the BCP and authorize them “for trial use throughout the Church” “at any time” “as an alternative” to the standard Book of Common Prayer.</w:t>
      </w:r>
    </w:p>
    <w:p w:rsidR="000F3FFC" w:rsidRPr="00246FEC" w:rsidRDefault="000F3FFC" w:rsidP="002E00CF">
      <w:pPr>
        <w:numPr>
          <w:ilvl w:val="0"/>
          <w:numId w:val="1"/>
        </w:numPr>
        <w:tabs>
          <w:tab w:val="clear" w:pos="720"/>
          <w:tab w:val="num" w:pos="1080"/>
        </w:tabs>
        <w:spacing w:before="100" w:beforeAutospacing="1" w:after="100" w:afterAutospacing="1"/>
        <w:ind w:left="1080"/>
        <w:rPr>
          <w:rFonts w:ascii="Times New Roman" w:eastAsia="Times New Roman" w:hAnsi="Times New Roman" w:cs="Times New Roman"/>
          <w:sz w:val="24"/>
          <w:szCs w:val="24"/>
        </w:rPr>
      </w:pPr>
      <w:r w:rsidRPr="00246FEC">
        <w:rPr>
          <w:rFonts w:ascii="Times New Roman" w:eastAsia="Times New Roman" w:hAnsi="Times New Roman" w:cs="Times New Roman"/>
          <w:sz w:val="24"/>
          <w:szCs w:val="24"/>
        </w:rPr>
        <w:t>Diocesan bishops, not General Convention, have authority to permit supplemental forms of worship under defined conditions.</w:t>
      </w:r>
    </w:p>
    <w:p w:rsidR="000F3FFC" w:rsidRPr="00246FEC" w:rsidRDefault="000F3FFC" w:rsidP="002E00CF">
      <w:pPr>
        <w:numPr>
          <w:ilvl w:val="0"/>
          <w:numId w:val="1"/>
        </w:numPr>
        <w:tabs>
          <w:tab w:val="clear" w:pos="720"/>
          <w:tab w:val="num" w:pos="1080"/>
        </w:tabs>
        <w:spacing w:before="100" w:beforeAutospacing="1" w:after="100" w:afterAutospacing="1"/>
        <w:ind w:left="1080"/>
        <w:rPr>
          <w:rFonts w:ascii="Times New Roman" w:eastAsia="Times New Roman" w:hAnsi="Times New Roman" w:cs="Times New Roman"/>
          <w:sz w:val="24"/>
          <w:szCs w:val="24"/>
        </w:rPr>
      </w:pPr>
      <w:r w:rsidRPr="00246FEC">
        <w:rPr>
          <w:rFonts w:ascii="Times New Roman" w:eastAsia="Times New Roman" w:hAnsi="Times New Roman" w:cs="Times New Roman"/>
          <w:sz w:val="24"/>
          <w:szCs w:val="24"/>
        </w:rPr>
        <w:t>The proposed rite was not conceived as a revision to the Book of Common Prayer and therefore General Convention had no authority to authorize its use by any majority or supermajority vote.</w:t>
      </w:r>
    </w:p>
    <w:p w:rsidR="000F3FFC" w:rsidRPr="00246FEC" w:rsidRDefault="000F3FFC" w:rsidP="002E00CF">
      <w:pPr>
        <w:numPr>
          <w:ilvl w:val="0"/>
          <w:numId w:val="1"/>
        </w:numPr>
        <w:tabs>
          <w:tab w:val="clear" w:pos="720"/>
          <w:tab w:val="num" w:pos="1080"/>
        </w:tabs>
        <w:spacing w:before="100" w:beforeAutospacing="1" w:after="100" w:afterAutospacing="1"/>
        <w:ind w:left="1080"/>
        <w:rPr>
          <w:rFonts w:ascii="Times New Roman" w:eastAsia="Times New Roman" w:hAnsi="Times New Roman" w:cs="Times New Roman"/>
          <w:sz w:val="24"/>
          <w:szCs w:val="24"/>
        </w:rPr>
      </w:pPr>
      <w:r w:rsidRPr="00246FEC">
        <w:rPr>
          <w:rFonts w:ascii="Times New Roman" w:eastAsia="Times New Roman" w:hAnsi="Times New Roman" w:cs="Times New Roman"/>
          <w:sz w:val="24"/>
          <w:szCs w:val="24"/>
        </w:rPr>
        <w:t>The action of General Convention was theologically incoherent in that it assumed that God’s blessing can be invoked provisionally and in some dioceses but not others.</w:t>
      </w:r>
    </w:p>
    <w:p w:rsidR="000F3FFC" w:rsidRPr="00246FEC" w:rsidRDefault="000F3FFC" w:rsidP="002E00CF">
      <w:pPr>
        <w:numPr>
          <w:ilvl w:val="0"/>
          <w:numId w:val="1"/>
        </w:numPr>
        <w:tabs>
          <w:tab w:val="clear" w:pos="720"/>
          <w:tab w:val="num" w:pos="1080"/>
        </w:tabs>
        <w:spacing w:before="100" w:beforeAutospacing="1" w:after="100" w:afterAutospacing="1"/>
        <w:ind w:left="1080"/>
        <w:rPr>
          <w:rFonts w:ascii="Times New Roman" w:eastAsia="Times New Roman" w:hAnsi="Times New Roman" w:cs="Times New Roman"/>
          <w:sz w:val="24"/>
          <w:szCs w:val="24"/>
        </w:rPr>
      </w:pPr>
      <w:r w:rsidRPr="00246FEC">
        <w:rPr>
          <w:rFonts w:ascii="Times New Roman" w:eastAsia="Times New Roman" w:hAnsi="Times New Roman" w:cs="Times New Roman"/>
          <w:sz w:val="24"/>
          <w:szCs w:val="24"/>
        </w:rPr>
        <w:t>The resolution passed is unconstitutional because it exceeds the authority of General Convention and invites clergy to violate BCP rubrics.</w:t>
      </w:r>
    </w:p>
    <w:p w:rsidR="000F3FFC" w:rsidRPr="00246FEC" w:rsidRDefault="000F3FFC" w:rsidP="002E00CF">
      <w:pPr>
        <w:numPr>
          <w:ilvl w:val="0"/>
          <w:numId w:val="1"/>
        </w:numPr>
        <w:tabs>
          <w:tab w:val="clear" w:pos="720"/>
          <w:tab w:val="num" w:pos="1080"/>
        </w:tabs>
        <w:spacing w:before="100" w:beforeAutospacing="1" w:after="100" w:afterAutospacing="1"/>
        <w:ind w:left="1080"/>
        <w:rPr>
          <w:rFonts w:ascii="Times New Roman" w:eastAsia="Times New Roman" w:hAnsi="Times New Roman" w:cs="Times New Roman"/>
          <w:sz w:val="24"/>
          <w:szCs w:val="24"/>
        </w:rPr>
      </w:pPr>
      <w:r w:rsidRPr="00246FEC">
        <w:rPr>
          <w:rFonts w:ascii="Times New Roman" w:eastAsia="Times New Roman" w:hAnsi="Times New Roman" w:cs="Times New Roman"/>
          <w:sz w:val="24"/>
          <w:szCs w:val="24"/>
        </w:rPr>
        <w:lastRenderedPageBreak/>
        <w:t>Bishops cannot constitutionally permit use of this rite in connection with civil marriages.</w:t>
      </w:r>
    </w:p>
    <w:p w:rsidR="000F3FFC" w:rsidRPr="00246FEC" w:rsidRDefault="000F3FFC" w:rsidP="002E00CF">
      <w:pPr>
        <w:spacing w:before="100" w:beforeAutospacing="1" w:after="100" w:afterAutospacing="1"/>
        <w:ind w:left="360"/>
        <w:rPr>
          <w:rFonts w:ascii="Times New Roman" w:eastAsia="Times New Roman" w:hAnsi="Times New Roman" w:cs="Times New Roman"/>
          <w:sz w:val="24"/>
          <w:szCs w:val="24"/>
        </w:rPr>
      </w:pPr>
      <w:r w:rsidRPr="00246FEC">
        <w:rPr>
          <w:rFonts w:ascii="Times New Roman" w:eastAsia="Times New Roman" w:hAnsi="Times New Roman" w:cs="Times New Roman"/>
          <w:sz w:val="24"/>
          <w:szCs w:val="24"/>
        </w:rPr>
        <w:t>We conclude: taken as a whole, Resolution A049 is not just a legal nullity and theologically incoherent, although it is that. It is also profoundly unconstitutional in that it purports to do something General Convention is not authorized to do and encourages clergy to violate the canons, the rubrics of the Book of Common Prayer and their vow to conform to the worship of the Church.</w:t>
      </w:r>
    </w:p>
    <w:p w:rsidR="000F3FFC" w:rsidRPr="00246FEC" w:rsidRDefault="000F3FFC" w:rsidP="002E00CF">
      <w:pPr>
        <w:spacing w:before="100" w:beforeAutospacing="1" w:after="100" w:afterAutospacing="1"/>
        <w:ind w:left="360"/>
        <w:rPr>
          <w:rFonts w:ascii="Times New Roman" w:eastAsia="Times New Roman" w:hAnsi="Times New Roman" w:cs="Times New Roman"/>
          <w:sz w:val="24"/>
          <w:szCs w:val="24"/>
        </w:rPr>
      </w:pPr>
      <w:r w:rsidRPr="00246FEC">
        <w:rPr>
          <w:rFonts w:ascii="Times New Roman" w:eastAsia="Times New Roman" w:hAnsi="Times New Roman" w:cs="Times New Roman"/>
          <w:sz w:val="24"/>
          <w:szCs w:val="24"/>
        </w:rPr>
        <w:t>But this is only one instance of the proliferation of unconstitutionally authorized liturgical materials for a church in liturgical, theological and canonical chaos. General Convention itself has called attention to this problem and concluded “it is time…to honor the spirit of the prayer book rubrics.” We agree.</w:t>
      </w:r>
    </w:p>
    <w:p w:rsidR="00646655" w:rsidRPr="00246FEC" w:rsidRDefault="0089423A" w:rsidP="002E00CF">
      <w:pPr>
        <w:spacing w:before="100" w:beforeAutospacing="1" w:after="100" w:afterAutospacing="1"/>
        <w:rPr>
          <w:rFonts w:ascii="Times New Roman" w:eastAsia="Times New Roman" w:hAnsi="Times New Roman" w:cs="Times New Roman"/>
          <w:sz w:val="24"/>
          <w:szCs w:val="24"/>
        </w:rPr>
      </w:pPr>
      <w:r w:rsidRPr="00246FEC">
        <w:rPr>
          <w:rFonts w:ascii="Times New Roman" w:eastAsia="Times New Roman" w:hAnsi="Times New Roman" w:cs="Times New Roman"/>
          <w:sz w:val="24"/>
          <w:szCs w:val="24"/>
        </w:rPr>
        <w:t xml:space="preserve">Now, three years later, we find General </w:t>
      </w:r>
      <w:r w:rsidR="004325C4" w:rsidRPr="00246FEC">
        <w:rPr>
          <w:rFonts w:ascii="Times New Roman" w:eastAsia="Times New Roman" w:hAnsi="Times New Roman" w:cs="Times New Roman"/>
          <w:sz w:val="24"/>
          <w:szCs w:val="24"/>
        </w:rPr>
        <w:t>C</w:t>
      </w:r>
      <w:r w:rsidRPr="00246FEC">
        <w:rPr>
          <w:rFonts w:ascii="Times New Roman" w:eastAsia="Times New Roman" w:hAnsi="Times New Roman" w:cs="Times New Roman"/>
          <w:sz w:val="24"/>
          <w:szCs w:val="24"/>
        </w:rPr>
        <w:t>onvention once again considering patently unconstitutional actions.</w:t>
      </w:r>
      <w:r w:rsidR="004325C4" w:rsidRPr="00246FEC">
        <w:rPr>
          <w:rFonts w:ascii="Times New Roman" w:eastAsia="Times New Roman" w:hAnsi="Times New Roman" w:cs="Times New Roman"/>
          <w:sz w:val="24"/>
          <w:szCs w:val="24"/>
        </w:rPr>
        <w:t xml:space="preserve">  What is noteworthy this time is that the Standing Commission on Liturgy and Music is not only proposing the</w:t>
      </w:r>
      <w:r w:rsidR="00FE6366" w:rsidRPr="00246FEC">
        <w:rPr>
          <w:rFonts w:ascii="Times New Roman" w:eastAsia="Times New Roman" w:hAnsi="Times New Roman" w:cs="Times New Roman"/>
          <w:sz w:val="24"/>
          <w:szCs w:val="24"/>
        </w:rPr>
        <w:t>se</w:t>
      </w:r>
      <w:r w:rsidR="004325C4" w:rsidRPr="00246FEC">
        <w:rPr>
          <w:rFonts w:ascii="Times New Roman" w:eastAsia="Times New Roman" w:hAnsi="Times New Roman" w:cs="Times New Roman"/>
          <w:sz w:val="24"/>
          <w:szCs w:val="24"/>
        </w:rPr>
        <w:t xml:space="preserve"> unconstitutional actions, it is also acknowledging that they are unconstitutional and proposing an amendment to Article X that would (presumably retroactively since the amendment could not be approved before 2018)</w:t>
      </w:r>
      <w:r w:rsidR="00545ACF" w:rsidRPr="00246FEC">
        <w:rPr>
          <w:rFonts w:ascii="Times New Roman" w:eastAsia="Times New Roman" w:hAnsi="Times New Roman" w:cs="Times New Roman"/>
          <w:sz w:val="24"/>
          <w:szCs w:val="24"/>
        </w:rPr>
        <w:t xml:space="preserve"> give General Convention the authority it has attempted to exercise for years without constitutional mandate.</w:t>
      </w:r>
    </w:p>
    <w:p w:rsidR="00381EDB" w:rsidRPr="00246FEC" w:rsidRDefault="00381EDB" w:rsidP="002E00CF">
      <w:pPr>
        <w:spacing w:before="100" w:beforeAutospacing="1" w:after="100" w:afterAutospacing="1"/>
        <w:rPr>
          <w:rFonts w:ascii="Times New Roman" w:eastAsia="Times New Roman" w:hAnsi="Times New Roman" w:cs="Times New Roman"/>
          <w:sz w:val="24"/>
          <w:szCs w:val="24"/>
        </w:rPr>
      </w:pPr>
      <w:r w:rsidRPr="00246FEC">
        <w:rPr>
          <w:rFonts w:ascii="Times New Roman" w:eastAsia="Times New Roman" w:hAnsi="Times New Roman" w:cs="Times New Roman"/>
          <w:sz w:val="24"/>
          <w:szCs w:val="24"/>
        </w:rPr>
        <w:t>The relevant proposals are the following:</w:t>
      </w:r>
    </w:p>
    <w:p w:rsidR="00381EDB" w:rsidRPr="00246FEC" w:rsidRDefault="00DA1C71" w:rsidP="002E00CF">
      <w:pPr>
        <w:pStyle w:val="ListParagraph"/>
        <w:numPr>
          <w:ilvl w:val="0"/>
          <w:numId w:val="2"/>
        </w:numPr>
        <w:spacing w:before="100" w:beforeAutospacing="1" w:after="100" w:afterAutospacing="1"/>
        <w:rPr>
          <w:rFonts w:ascii="Times New Roman" w:eastAsia="Times New Roman" w:hAnsi="Times New Roman" w:cs="Times New Roman"/>
          <w:sz w:val="24"/>
          <w:szCs w:val="24"/>
        </w:rPr>
      </w:pPr>
      <w:r w:rsidRPr="00246FEC">
        <w:rPr>
          <w:rFonts w:ascii="Times New Roman" w:eastAsia="Times New Roman" w:hAnsi="Times New Roman" w:cs="Times New Roman"/>
          <w:sz w:val="24"/>
          <w:szCs w:val="24"/>
        </w:rPr>
        <w:t xml:space="preserve">To </w:t>
      </w:r>
      <w:r w:rsidR="00C76B1D" w:rsidRPr="00246FEC">
        <w:rPr>
          <w:rFonts w:ascii="Times New Roman" w:eastAsia="Times New Roman" w:hAnsi="Times New Roman" w:cs="Times New Roman"/>
          <w:sz w:val="24"/>
          <w:szCs w:val="24"/>
        </w:rPr>
        <w:t>“</w:t>
      </w:r>
      <w:r w:rsidRPr="00246FEC">
        <w:rPr>
          <w:rFonts w:ascii="Times New Roman" w:eastAsia="Times New Roman" w:hAnsi="Times New Roman" w:cs="Times New Roman"/>
          <w:sz w:val="24"/>
          <w:szCs w:val="24"/>
        </w:rPr>
        <w:t>authorize</w:t>
      </w:r>
      <w:r w:rsidR="00C76B1D" w:rsidRPr="00246FEC">
        <w:rPr>
          <w:rFonts w:ascii="Times New Roman" w:eastAsia="Times New Roman" w:hAnsi="Times New Roman" w:cs="Times New Roman"/>
          <w:sz w:val="24"/>
          <w:szCs w:val="24"/>
        </w:rPr>
        <w:t xml:space="preserve"> for use”</w:t>
      </w:r>
      <w:r w:rsidRPr="00246FEC">
        <w:rPr>
          <w:rFonts w:ascii="Times New Roman" w:eastAsia="Times New Roman" w:hAnsi="Times New Roman" w:cs="Times New Roman"/>
          <w:sz w:val="24"/>
          <w:szCs w:val="24"/>
        </w:rPr>
        <w:t xml:space="preserve"> without qualification the rite for blessing same sex covenants authorized “for provisional use” “</w:t>
      </w:r>
      <w:r w:rsidRPr="00246FEC">
        <w:rPr>
          <w:rFonts w:ascii="Times New Roman" w:eastAsia="Times New Roman" w:hAnsi="Times New Roman" w:cs="Times New Roman"/>
          <w:bCs/>
          <w:sz w:val="24"/>
          <w:szCs w:val="24"/>
        </w:rPr>
        <w:t>under the direction and subject to the permission of the bishop exercising ecclesiastical authority</w:t>
      </w:r>
      <w:r w:rsidR="00C76B1D" w:rsidRPr="00246FEC">
        <w:rPr>
          <w:rFonts w:ascii="Times New Roman" w:eastAsia="Times New Roman" w:hAnsi="Times New Roman" w:cs="Times New Roman"/>
          <w:bCs/>
          <w:sz w:val="24"/>
          <w:szCs w:val="24"/>
        </w:rPr>
        <w:t>” at the last General Convention.</w:t>
      </w:r>
      <w:r w:rsidR="00381EDB" w:rsidRPr="00246FEC">
        <w:rPr>
          <w:rFonts w:ascii="Times New Roman" w:eastAsia="Times New Roman" w:hAnsi="Times New Roman" w:cs="Times New Roman"/>
          <w:sz w:val="24"/>
          <w:szCs w:val="24"/>
        </w:rPr>
        <w:t xml:space="preserve"> </w:t>
      </w:r>
      <w:r w:rsidR="007D7D46" w:rsidRPr="00246FEC">
        <w:rPr>
          <w:rFonts w:ascii="Times New Roman" w:eastAsia="Times New Roman" w:hAnsi="Times New Roman" w:cs="Times New Roman"/>
          <w:sz w:val="24"/>
          <w:szCs w:val="24"/>
        </w:rPr>
        <w:t>The apparent intent of this unqualified authorization is to make this rite available in all dioceses without regard to the permission of the bishop.</w:t>
      </w:r>
    </w:p>
    <w:p w:rsidR="00C76B1D" w:rsidRPr="00246FEC" w:rsidRDefault="00C76B1D" w:rsidP="002E00CF">
      <w:pPr>
        <w:pStyle w:val="ListParagraph"/>
        <w:numPr>
          <w:ilvl w:val="0"/>
          <w:numId w:val="2"/>
        </w:numPr>
        <w:spacing w:before="100" w:beforeAutospacing="1" w:after="100" w:afterAutospacing="1"/>
        <w:rPr>
          <w:rFonts w:ascii="Times New Roman" w:eastAsia="Times New Roman" w:hAnsi="Times New Roman" w:cs="Times New Roman"/>
          <w:sz w:val="24"/>
          <w:szCs w:val="24"/>
        </w:rPr>
      </w:pPr>
      <w:r w:rsidRPr="00246FEC">
        <w:rPr>
          <w:rFonts w:ascii="Times New Roman" w:eastAsia="Times New Roman" w:hAnsi="Times New Roman" w:cs="Times New Roman"/>
          <w:sz w:val="24"/>
          <w:szCs w:val="24"/>
        </w:rPr>
        <w:t>To “authorize for use” (not provisionally) a rite for same sex marriages “</w:t>
      </w:r>
      <w:r w:rsidRPr="00246FEC">
        <w:rPr>
          <w:rFonts w:ascii="Times New Roman" w:eastAsia="Times New Roman" w:hAnsi="Times New Roman" w:cs="Times New Roman"/>
          <w:bCs/>
          <w:sz w:val="24"/>
          <w:szCs w:val="24"/>
        </w:rPr>
        <w:t>under the direction of the bishop exercising ecclesiastical authority.”  Note that the words “subject to the permission of the bishop exercising ecclesiastical authority” attached to the provisional rite approved at the last General Convention have been omitted from this new marriage rite</w:t>
      </w:r>
      <w:r w:rsidR="00846201" w:rsidRPr="00246FEC">
        <w:rPr>
          <w:rFonts w:ascii="Times New Roman" w:eastAsia="Times New Roman" w:hAnsi="Times New Roman" w:cs="Times New Roman"/>
          <w:bCs/>
          <w:sz w:val="24"/>
          <w:szCs w:val="24"/>
        </w:rPr>
        <w:t xml:space="preserve">.  Although </w:t>
      </w:r>
      <w:r w:rsidRPr="00246FEC">
        <w:rPr>
          <w:rFonts w:ascii="Times New Roman" w:eastAsia="Times New Roman" w:hAnsi="Times New Roman" w:cs="Times New Roman"/>
          <w:bCs/>
          <w:sz w:val="24"/>
          <w:szCs w:val="24"/>
        </w:rPr>
        <w:t xml:space="preserve">same sex marriage rites are to be under the bishop’s direction, </w:t>
      </w:r>
      <w:r w:rsidR="00846201" w:rsidRPr="00246FEC">
        <w:rPr>
          <w:rFonts w:ascii="Times New Roman" w:eastAsia="Times New Roman" w:hAnsi="Times New Roman" w:cs="Times New Roman"/>
          <w:bCs/>
          <w:sz w:val="24"/>
          <w:szCs w:val="24"/>
        </w:rPr>
        <w:t xml:space="preserve">are they still </w:t>
      </w:r>
      <w:r w:rsidRPr="00246FEC">
        <w:rPr>
          <w:rFonts w:ascii="Times New Roman" w:eastAsia="Times New Roman" w:hAnsi="Times New Roman" w:cs="Times New Roman"/>
          <w:bCs/>
          <w:sz w:val="24"/>
          <w:szCs w:val="24"/>
        </w:rPr>
        <w:t>subject to the bishop’s approval</w:t>
      </w:r>
      <w:r w:rsidR="00846201" w:rsidRPr="00246FEC">
        <w:rPr>
          <w:rFonts w:ascii="Times New Roman" w:eastAsia="Times New Roman" w:hAnsi="Times New Roman" w:cs="Times New Roman"/>
          <w:bCs/>
          <w:sz w:val="24"/>
          <w:szCs w:val="24"/>
        </w:rPr>
        <w:t>?</w:t>
      </w:r>
    </w:p>
    <w:p w:rsidR="00C76B1D" w:rsidRPr="00246FEC" w:rsidRDefault="00C76B1D" w:rsidP="002E00CF">
      <w:pPr>
        <w:pStyle w:val="ListParagraph"/>
        <w:numPr>
          <w:ilvl w:val="0"/>
          <w:numId w:val="2"/>
        </w:numPr>
        <w:spacing w:before="100" w:beforeAutospacing="1" w:after="100" w:afterAutospacing="1"/>
        <w:rPr>
          <w:rFonts w:ascii="Times New Roman" w:eastAsia="Times New Roman" w:hAnsi="Times New Roman" w:cs="Times New Roman"/>
          <w:sz w:val="24"/>
          <w:szCs w:val="24"/>
        </w:rPr>
      </w:pPr>
      <w:r w:rsidRPr="00246FEC">
        <w:rPr>
          <w:rFonts w:ascii="Times New Roman" w:eastAsia="Times New Roman" w:hAnsi="Times New Roman" w:cs="Times New Roman"/>
          <w:bCs/>
          <w:sz w:val="24"/>
          <w:szCs w:val="24"/>
        </w:rPr>
        <w:t xml:space="preserve"> </w:t>
      </w:r>
      <w:r w:rsidR="00333508" w:rsidRPr="00246FEC">
        <w:rPr>
          <w:rFonts w:ascii="Times New Roman" w:eastAsia="Times New Roman" w:hAnsi="Times New Roman" w:cs="Times New Roman"/>
          <w:bCs/>
          <w:sz w:val="24"/>
          <w:szCs w:val="24"/>
        </w:rPr>
        <w:t>To resolve that “</w:t>
      </w:r>
      <w:r w:rsidR="00333508" w:rsidRPr="00246FEC">
        <w:rPr>
          <w:rFonts w:ascii="Times New Roman" w:eastAsia="Times New Roman" w:hAnsi="Times New Roman" w:cs="Times New Roman"/>
          <w:sz w:val="24"/>
          <w:szCs w:val="24"/>
        </w:rPr>
        <w:t xml:space="preserve">bishops, particularly those in dioceses within civil jurisdictions where same-sex marriage, civil unions, or domestic partnerships are legal, may continue to provide generous pastoral response to meet the needs of members of this Church.”  The apparent intent of this resolution is to permit (“may continue”) bishops to ignore the rubrics in the BCP and the </w:t>
      </w:r>
      <w:r w:rsidR="007D7D46" w:rsidRPr="00246FEC">
        <w:rPr>
          <w:rFonts w:ascii="Times New Roman" w:eastAsia="Times New Roman" w:hAnsi="Times New Roman" w:cs="Times New Roman"/>
          <w:sz w:val="24"/>
          <w:szCs w:val="24"/>
        </w:rPr>
        <w:t xml:space="preserve">provisions in the </w:t>
      </w:r>
      <w:r w:rsidR="00333508" w:rsidRPr="00246FEC">
        <w:rPr>
          <w:rFonts w:ascii="Times New Roman" w:eastAsia="Times New Roman" w:hAnsi="Times New Roman" w:cs="Times New Roman"/>
          <w:sz w:val="24"/>
          <w:szCs w:val="24"/>
        </w:rPr>
        <w:t>canon on marriage (I.18) stating that marriage is between a man and a woman</w:t>
      </w:r>
      <w:r w:rsidR="007D7D46" w:rsidRPr="00246FEC">
        <w:rPr>
          <w:rFonts w:ascii="Times New Roman" w:eastAsia="Times New Roman" w:hAnsi="Times New Roman" w:cs="Times New Roman"/>
          <w:sz w:val="24"/>
          <w:szCs w:val="24"/>
        </w:rPr>
        <w:t>.  B</w:t>
      </w:r>
      <w:r w:rsidR="00333508" w:rsidRPr="00246FEC">
        <w:rPr>
          <w:rFonts w:ascii="Times New Roman" w:eastAsia="Times New Roman" w:hAnsi="Times New Roman" w:cs="Times New Roman"/>
          <w:sz w:val="24"/>
          <w:szCs w:val="24"/>
        </w:rPr>
        <w:t xml:space="preserve">ut General Convention does not have the authority to permit bishops (or anyone else for that matter) to ignore the constitutional </w:t>
      </w:r>
      <w:r w:rsidR="00333508" w:rsidRPr="00246FEC">
        <w:rPr>
          <w:rFonts w:ascii="Times New Roman" w:eastAsia="Times New Roman" w:hAnsi="Times New Roman" w:cs="Times New Roman"/>
          <w:sz w:val="24"/>
          <w:szCs w:val="24"/>
        </w:rPr>
        <w:lastRenderedPageBreak/>
        <w:t>and canonical law of the church.</w:t>
      </w:r>
      <w:r w:rsidR="00BC7F9F" w:rsidRPr="00246FEC">
        <w:rPr>
          <w:rFonts w:ascii="Times New Roman" w:eastAsia="Times New Roman" w:hAnsi="Times New Roman" w:cs="Times New Roman"/>
          <w:sz w:val="24"/>
          <w:szCs w:val="24"/>
        </w:rPr>
        <w:t xml:space="preserve">  Whatever authority bishops have in this matter derives from the Constitution and the BCP, not a resolution of General Convention.</w:t>
      </w:r>
    </w:p>
    <w:p w:rsidR="00BC7F9F" w:rsidRPr="00246FEC" w:rsidRDefault="00BC7F9F" w:rsidP="002E00CF">
      <w:pPr>
        <w:pStyle w:val="ListParagraph"/>
        <w:numPr>
          <w:ilvl w:val="0"/>
          <w:numId w:val="2"/>
        </w:numPr>
        <w:spacing w:before="100" w:beforeAutospacing="1" w:after="100" w:afterAutospacing="1"/>
        <w:rPr>
          <w:rFonts w:ascii="Times New Roman" w:eastAsia="Times New Roman" w:hAnsi="Times New Roman" w:cs="Times New Roman"/>
          <w:sz w:val="24"/>
          <w:szCs w:val="24"/>
        </w:rPr>
      </w:pPr>
      <w:r w:rsidRPr="00246FEC">
        <w:rPr>
          <w:rFonts w:ascii="Times New Roman" w:eastAsia="Times New Roman" w:hAnsi="Times New Roman" w:cs="Times New Roman"/>
          <w:sz w:val="24"/>
          <w:szCs w:val="24"/>
        </w:rPr>
        <w:t>To amend the marriage canon to make it gender neutral.  This of course would not change the requirement</w:t>
      </w:r>
      <w:r w:rsidR="00A2228A" w:rsidRPr="00246FEC">
        <w:rPr>
          <w:rFonts w:ascii="Times New Roman" w:eastAsia="Times New Roman" w:hAnsi="Times New Roman" w:cs="Times New Roman"/>
          <w:sz w:val="24"/>
          <w:szCs w:val="24"/>
        </w:rPr>
        <w:t>s</w:t>
      </w:r>
      <w:r w:rsidRPr="00246FEC">
        <w:rPr>
          <w:rFonts w:ascii="Times New Roman" w:eastAsia="Times New Roman" w:hAnsi="Times New Roman" w:cs="Times New Roman"/>
          <w:sz w:val="24"/>
          <w:szCs w:val="24"/>
        </w:rPr>
        <w:t xml:space="preserve"> </w:t>
      </w:r>
      <w:r w:rsidR="007D7D46" w:rsidRPr="00246FEC">
        <w:rPr>
          <w:rFonts w:ascii="Times New Roman" w:eastAsia="Times New Roman" w:hAnsi="Times New Roman" w:cs="Times New Roman"/>
          <w:sz w:val="24"/>
          <w:szCs w:val="24"/>
        </w:rPr>
        <w:t xml:space="preserve">in the rubrics of </w:t>
      </w:r>
      <w:r w:rsidRPr="00246FEC">
        <w:rPr>
          <w:rFonts w:ascii="Times New Roman" w:eastAsia="Times New Roman" w:hAnsi="Times New Roman" w:cs="Times New Roman"/>
          <w:sz w:val="24"/>
          <w:szCs w:val="24"/>
        </w:rPr>
        <w:t>the BCP, a constitutional document.</w:t>
      </w:r>
    </w:p>
    <w:p w:rsidR="0011112D" w:rsidRDefault="007D7D46" w:rsidP="002E00CF">
      <w:pPr>
        <w:pStyle w:val="ListParagraph"/>
        <w:numPr>
          <w:ilvl w:val="0"/>
          <w:numId w:val="2"/>
        </w:numPr>
        <w:spacing w:before="100" w:beforeAutospacing="1" w:after="0" w:afterAutospacing="1"/>
        <w:rPr>
          <w:rFonts w:ascii="Times New Roman" w:eastAsia="Times New Roman" w:hAnsi="Times New Roman" w:cs="Times New Roman"/>
          <w:sz w:val="24"/>
          <w:szCs w:val="24"/>
        </w:rPr>
      </w:pPr>
      <w:r w:rsidRPr="0011112D">
        <w:rPr>
          <w:rFonts w:ascii="Times New Roman" w:eastAsia="Times New Roman" w:hAnsi="Times New Roman" w:cs="Times New Roman"/>
          <w:sz w:val="24"/>
          <w:szCs w:val="24"/>
        </w:rPr>
        <w:t>F</w:t>
      </w:r>
      <w:r w:rsidR="00BC7F9F" w:rsidRPr="0011112D">
        <w:rPr>
          <w:rFonts w:ascii="Times New Roman" w:eastAsia="Times New Roman" w:hAnsi="Times New Roman" w:cs="Times New Roman"/>
          <w:sz w:val="24"/>
          <w:szCs w:val="24"/>
        </w:rPr>
        <w:t xml:space="preserve">inally and most significantly for purposes of this analysis, to amend Article X of the Constitution to authorize a single General Convention to “provide for use of other forms [than </w:t>
      </w:r>
      <w:r w:rsidRPr="0011112D">
        <w:rPr>
          <w:rFonts w:ascii="Times New Roman" w:eastAsia="Times New Roman" w:hAnsi="Times New Roman" w:cs="Times New Roman"/>
          <w:sz w:val="24"/>
          <w:szCs w:val="24"/>
        </w:rPr>
        <w:t xml:space="preserve">those of </w:t>
      </w:r>
      <w:r w:rsidR="00BC7F9F" w:rsidRPr="0011112D">
        <w:rPr>
          <w:rFonts w:ascii="Times New Roman" w:eastAsia="Times New Roman" w:hAnsi="Times New Roman" w:cs="Times New Roman"/>
          <w:sz w:val="24"/>
          <w:szCs w:val="24"/>
        </w:rPr>
        <w:t>the BCP] for the renewal and enrichment of the common worship of this Church for such periods of time and upon such terms and conditions as the General Convention may provide.”</w:t>
      </w:r>
      <w:r w:rsidR="006F4F9F" w:rsidRPr="0011112D">
        <w:rPr>
          <w:rFonts w:ascii="Times New Roman" w:eastAsia="Times New Roman" w:hAnsi="Times New Roman" w:cs="Times New Roman"/>
          <w:sz w:val="24"/>
          <w:szCs w:val="24"/>
        </w:rPr>
        <w:t xml:space="preserve">  In other words, this is a proposal to amend the constitutional article on the BCP to authorize General Conventions to do the very thing they have been doing for many years and intend to do so again this year.</w:t>
      </w:r>
      <w:r w:rsidRPr="0011112D">
        <w:rPr>
          <w:rFonts w:ascii="Times New Roman" w:eastAsia="Times New Roman" w:hAnsi="Times New Roman" w:cs="Times New Roman"/>
          <w:sz w:val="24"/>
          <w:szCs w:val="24"/>
        </w:rPr>
        <w:t xml:space="preserve"> This would effectively render the BCP obsolete as a constitutional document since any General Convention could circumvent its </w:t>
      </w:r>
      <w:r w:rsidR="00A2763B" w:rsidRPr="0011112D">
        <w:rPr>
          <w:rFonts w:ascii="Times New Roman" w:eastAsia="Times New Roman" w:hAnsi="Times New Roman" w:cs="Times New Roman"/>
          <w:sz w:val="24"/>
          <w:szCs w:val="24"/>
        </w:rPr>
        <w:t xml:space="preserve">requirements by replacing them with others.  </w:t>
      </w:r>
      <w:r w:rsidR="002E00CF" w:rsidRPr="0011112D">
        <w:rPr>
          <w:rFonts w:ascii="Times New Roman" w:eastAsia="Times New Roman" w:hAnsi="Times New Roman" w:cs="Times New Roman"/>
          <w:sz w:val="24"/>
          <w:szCs w:val="24"/>
        </w:rPr>
        <w:t xml:space="preserve">On this understanding NEC is effectively asserting, as Groucho Marx once said, </w:t>
      </w:r>
      <w:r w:rsidR="00A2763B" w:rsidRPr="0011112D">
        <w:rPr>
          <w:rFonts w:ascii="Times New Roman" w:eastAsia="Times New Roman" w:hAnsi="Times New Roman" w:cs="Times New Roman"/>
          <w:sz w:val="24"/>
          <w:szCs w:val="24"/>
        </w:rPr>
        <w:t>“those are my principles, and if you don't like them... well, I have others.”</w:t>
      </w:r>
      <w:r w:rsidRPr="0011112D">
        <w:rPr>
          <w:rFonts w:ascii="Times New Roman" w:eastAsia="Times New Roman" w:hAnsi="Times New Roman" w:cs="Times New Roman"/>
          <w:sz w:val="24"/>
          <w:szCs w:val="24"/>
        </w:rPr>
        <w:t xml:space="preserve"> </w:t>
      </w:r>
    </w:p>
    <w:p w:rsidR="00FA540D" w:rsidRPr="0011112D" w:rsidRDefault="005D341D" w:rsidP="0011112D">
      <w:pPr>
        <w:spacing w:before="100" w:beforeAutospacing="1" w:after="0" w:afterAutospacing="1"/>
        <w:ind w:left="360"/>
        <w:rPr>
          <w:rFonts w:ascii="Times New Roman" w:eastAsia="Times New Roman" w:hAnsi="Times New Roman" w:cs="Times New Roman"/>
          <w:sz w:val="24"/>
          <w:szCs w:val="24"/>
        </w:rPr>
      </w:pPr>
      <w:r w:rsidRPr="0011112D">
        <w:rPr>
          <w:rFonts w:ascii="Times New Roman" w:eastAsia="Times New Roman" w:hAnsi="Times New Roman" w:cs="Times New Roman"/>
          <w:sz w:val="24"/>
          <w:szCs w:val="24"/>
        </w:rPr>
        <w:t>We note that this last resolution is most significant for our analysis because the theological issues over same sex marriage have been debated for years and continue to be.</w:t>
      </w:r>
      <w:r w:rsidR="007B289A" w:rsidRPr="0011112D">
        <w:rPr>
          <w:rFonts w:ascii="Times New Roman" w:eastAsia="Times New Roman" w:hAnsi="Times New Roman" w:cs="Times New Roman"/>
          <w:sz w:val="24"/>
          <w:szCs w:val="24"/>
        </w:rPr>
        <w:t xml:space="preserve">  Our purpose here is </w:t>
      </w:r>
      <w:r w:rsidR="00A2763B" w:rsidRPr="0011112D">
        <w:rPr>
          <w:rFonts w:ascii="Times New Roman" w:eastAsia="Times New Roman" w:hAnsi="Times New Roman" w:cs="Times New Roman"/>
          <w:sz w:val="24"/>
          <w:szCs w:val="24"/>
        </w:rPr>
        <w:t xml:space="preserve">not to add to that debate </w:t>
      </w:r>
      <w:r w:rsidR="002E00CF" w:rsidRPr="0011112D">
        <w:rPr>
          <w:rFonts w:ascii="Times New Roman" w:eastAsia="Times New Roman" w:hAnsi="Times New Roman" w:cs="Times New Roman"/>
          <w:sz w:val="24"/>
          <w:szCs w:val="24"/>
        </w:rPr>
        <w:t xml:space="preserve">but </w:t>
      </w:r>
      <w:r w:rsidR="00A2763B" w:rsidRPr="0011112D">
        <w:rPr>
          <w:rFonts w:ascii="Times New Roman" w:eastAsia="Times New Roman" w:hAnsi="Times New Roman" w:cs="Times New Roman"/>
          <w:sz w:val="24"/>
          <w:szCs w:val="24"/>
        </w:rPr>
        <w:t xml:space="preserve">is a </w:t>
      </w:r>
      <w:r w:rsidR="007B289A" w:rsidRPr="0011112D">
        <w:rPr>
          <w:rFonts w:ascii="Times New Roman" w:eastAsia="Times New Roman" w:hAnsi="Times New Roman" w:cs="Times New Roman"/>
          <w:sz w:val="24"/>
          <w:szCs w:val="24"/>
        </w:rPr>
        <w:t>more limited</w:t>
      </w:r>
      <w:r w:rsidR="00A2763B" w:rsidRPr="0011112D">
        <w:rPr>
          <w:rFonts w:ascii="Times New Roman" w:eastAsia="Times New Roman" w:hAnsi="Times New Roman" w:cs="Times New Roman"/>
          <w:sz w:val="24"/>
          <w:szCs w:val="24"/>
        </w:rPr>
        <w:t xml:space="preserve"> one</w:t>
      </w:r>
      <w:bookmarkStart w:id="0" w:name="_GoBack"/>
      <w:bookmarkEnd w:id="0"/>
      <w:r w:rsidR="007B289A" w:rsidRPr="0011112D">
        <w:rPr>
          <w:rFonts w:ascii="Times New Roman" w:eastAsia="Times New Roman" w:hAnsi="Times New Roman" w:cs="Times New Roman"/>
          <w:sz w:val="24"/>
          <w:szCs w:val="24"/>
        </w:rPr>
        <w:t>: to point out</w:t>
      </w:r>
      <w:r w:rsidR="00A2763B" w:rsidRPr="0011112D">
        <w:rPr>
          <w:rFonts w:ascii="Times New Roman" w:eastAsia="Times New Roman" w:hAnsi="Times New Roman" w:cs="Times New Roman"/>
          <w:sz w:val="24"/>
          <w:szCs w:val="24"/>
        </w:rPr>
        <w:t xml:space="preserve"> again</w:t>
      </w:r>
      <w:r w:rsidR="007B289A" w:rsidRPr="0011112D">
        <w:rPr>
          <w:rFonts w:ascii="Times New Roman" w:eastAsia="Times New Roman" w:hAnsi="Times New Roman" w:cs="Times New Roman"/>
          <w:sz w:val="24"/>
          <w:szCs w:val="24"/>
        </w:rPr>
        <w:t xml:space="preserve">, as we did in 2012, that these proposals to approve same sex rites are clearly unconstitutional.  Our surprise </w:t>
      </w:r>
      <w:r w:rsidR="00A2763B" w:rsidRPr="0011112D">
        <w:rPr>
          <w:rFonts w:ascii="Times New Roman" w:eastAsia="Times New Roman" w:hAnsi="Times New Roman" w:cs="Times New Roman"/>
          <w:sz w:val="24"/>
          <w:szCs w:val="24"/>
        </w:rPr>
        <w:t xml:space="preserve">this time </w:t>
      </w:r>
      <w:r w:rsidR="007B289A" w:rsidRPr="0011112D">
        <w:rPr>
          <w:rFonts w:ascii="Times New Roman" w:eastAsia="Times New Roman" w:hAnsi="Times New Roman" w:cs="Times New Roman"/>
          <w:sz w:val="24"/>
          <w:szCs w:val="24"/>
        </w:rPr>
        <w:t>is that the very committee proposing these rites agrees with our analysis.  Note the following explanation offered by the SCLM for its proposed Resolution A066:</w:t>
      </w:r>
    </w:p>
    <w:p w:rsidR="007B289A" w:rsidRPr="00246FEC" w:rsidRDefault="007B289A" w:rsidP="002E00CF">
      <w:pPr>
        <w:spacing w:after="0"/>
        <w:rPr>
          <w:rFonts w:ascii="Times New Roman" w:eastAsia="Times New Roman" w:hAnsi="Times New Roman" w:cs="Times New Roman"/>
          <w:sz w:val="24"/>
          <w:szCs w:val="24"/>
        </w:rPr>
      </w:pPr>
    </w:p>
    <w:p w:rsidR="00FA540D" w:rsidRPr="00246FEC" w:rsidRDefault="00FA540D" w:rsidP="002E00CF">
      <w:pPr>
        <w:spacing w:after="0"/>
        <w:ind w:left="720"/>
        <w:rPr>
          <w:rFonts w:ascii="Times New Roman" w:eastAsia="Times New Roman" w:hAnsi="Times New Roman" w:cs="Times New Roman"/>
          <w:sz w:val="24"/>
          <w:szCs w:val="24"/>
        </w:rPr>
      </w:pPr>
      <w:r w:rsidRPr="00246FEC">
        <w:rPr>
          <w:rFonts w:ascii="Times New Roman" w:eastAsia="Times New Roman" w:hAnsi="Times New Roman" w:cs="Times New Roman"/>
          <w:b/>
          <w:sz w:val="24"/>
          <w:szCs w:val="24"/>
        </w:rPr>
        <w:t>The Constitution allows the General Convention to authorize alternative forms of worship only for trial use as a proposed revision of the Book of Common Prayer</w:t>
      </w:r>
      <w:r w:rsidRPr="00246FEC">
        <w:rPr>
          <w:rFonts w:ascii="Times New Roman" w:eastAsia="Times New Roman" w:hAnsi="Times New Roman" w:cs="Times New Roman"/>
          <w:sz w:val="24"/>
          <w:szCs w:val="24"/>
        </w:rPr>
        <w:t xml:space="preserve">. Since the 1979 Book of Common Prayer was adopted, alternative forms of worship in the Enriching Our Worship series and in Liturgical Resources 1 have been authorized, even though these were not designated for trial use as a proposed revision of the BCP. In addition, a number of congregations are experimenting with other new liturgical forms. </w:t>
      </w:r>
      <w:r w:rsidRPr="00246FEC">
        <w:rPr>
          <w:rFonts w:ascii="Times New Roman" w:eastAsia="Times New Roman" w:hAnsi="Times New Roman" w:cs="Times New Roman"/>
          <w:b/>
          <w:sz w:val="24"/>
          <w:szCs w:val="24"/>
        </w:rPr>
        <w:t>This amendment would create a clear, constitutional basis for experimental liturgical reforms that are not intended for trial use as a proposed revision of the Book of Common Prayer</w:t>
      </w:r>
      <w:r w:rsidRPr="00246FEC">
        <w:rPr>
          <w:rFonts w:ascii="Times New Roman" w:eastAsia="Times New Roman" w:hAnsi="Times New Roman" w:cs="Times New Roman"/>
          <w:sz w:val="24"/>
          <w:szCs w:val="24"/>
        </w:rPr>
        <w:t>, while ensuring common prayer through the use of authorized liturgical materials.</w:t>
      </w:r>
      <w:r w:rsidR="007B289A" w:rsidRPr="00246FEC">
        <w:rPr>
          <w:rFonts w:ascii="Times New Roman" w:eastAsia="Times New Roman" w:hAnsi="Times New Roman" w:cs="Times New Roman"/>
          <w:sz w:val="24"/>
          <w:szCs w:val="24"/>
        </w:rPr>
        <w:t xml:space="preserve"> (Emphasis added.)</w:t>
      </w:r>
    </w:p>
    <w:p w:rsidR="007B289A" w:rsidRPr="00246FEC" w:rsidRDefault="007B289A" w:rsidP="002E00CF">
      <w:pPr>
        <w:spacing w:after="0"/>
        <w:rPr>
          <w:rFonts w:ascii="Times New Roman" w:eastAsia="Times New Roman" w:hAnsi="Times New Roman" w:cs="Times New Roman"/>
          <w:b/>
          <w:sz w:val="24"/>
          <w:szCs w:val="24"/>
        </w:rPr>
      </w:pPr>
    </w:p>
    <w:p w:rsidR="00A2763B" w:rsidRPr="00246FEC" w:rsidRDefault="00A2763B" w:rsidP="002E00CF">
      <w:pPr>
        <w:spacing w:after="0"/>
        <w:rPr>
          <w:rFonts w:ascii="Times New Roman" w:eastAsia="Times New Roman" w:hAnsi="Times New Roman" w:cs="Times New Roman"/>
          <w:sz w:val="24"/>
          <w:szCs w:val="24"/>
        </w:rPr>
      </w:pPr>
      <w:r w:rsidRPr="00246FEC">
        <w:rPr>
          <w:rFonts w:ascii="Times New Roman" w:eastAsia="Times New Roman" w:hAnsi="Times New Roman" w:cs="Times New Roman"/>
          <w:sz w:val="24"/>
          <w:szCs w:val="24"/>
        </w:rPr>
        <w:t>To repeat: the amendment would “create” a “constitutional basis” for what the General Convention has been doing and intends to continue doing.</w:t>
      </w:r>
    </w:p>
    <w:p w:rsidR="00A2763B" w:rsidRPr="00246FEC" w:rsidRDefault="00A2763B" w:rsidP="002E00CF">
      <w:pPr>
        <w:spacing w:after="0"/>
        <w:rPr>
          <w:rFonts w:ascii="Times New Roman" w:eastAsia="Times New Roman" w:hAnsi="Times New Roman" w:cs="Times New Roman"/>
          <w:sz w:val="24"/>
          <w:szCs w:val="24"/>
        </w:rPr>
      </w:pPr>
    </w:p>
    <w:p w:rsidR="00FA540D" w:rsidRPr="00246FEC" w:rsidRDefault="00F34E61" w:rsidP="002E00CF">
      <w:pPr>
        <w:spacing w:after="0"/>
        <w:rPr>
          <w:rFonts w:ascii="Times New Roman" w:eastAsia="Times New Roman" w:hAnsi="Times New Roman" w:cs="Times New Roman"/>
          <w:sz w:val="24"/>
          <w:szCs w:val="24"/>
        </w:rPr>
      </w:pPr>
      <w:r w:rsidRPr="00246FEC">
        <w:rPr>
          <w:rFonts w:ascii="Times New Roman" w:eastAsia="Times New Roman" w:hAnsi="Times New Roman" w:cs="Times New Roman"/>
          <w:sz w:val="24"/>
          <w:szCs w:val="24"/>
        </w:rPr>
        <w:t xml:space="preserve">The proposal to give a single General Convention the authority to add additional rites to the approved liturgies found in the BCP has a long and tortured legislative history.  It was first proposed in 1991 (as Resolution A-121) and was passed as a first reading of a constitutional </w:t>
      </w:r>
      <w:r w:rsidRPr="00246FEC">
        <w:rPr>
          <w:rFonts w:ascii="Times New Roman" w:eastAsia="Times New Roman" w:hAnsi="Times New Roman" w:cs="Times New Roman"/>
          <w:sz w:val="24"/>
          <w:szCs w:val="24"/>
        </w:rPr>
        <w:lastRenderedPageBreak/>
        <w:t>amendment and sent to the dioceses for review</w:t>
      </w:r>
      <w:r w:rsidR="00190D5F" w:rsidRPr="00246FEC">
        <w:rPr>
          <w:rFonts w:ascii="Times New Roman" w:eastAsia="Times New Roman" w:hAnsi="Times New Roman" w:cs="Times New Roman"/>
          <w:sz w:val="24"/>
          <w:szCs w:val="24"/>
        </w:rPr>
        <w:t xml:space="preserve"> as constitutionally required</w:t>
      </w:r>
      <w:r w:rsidRPr="00246FEC">
        <w:rPr>
          <w:rFonts w:ascii="Times New Roman" w:eastAsia="Times New Roman" w:hAnsi="Times New Roman" w:cs="Times New Roman"/>
          <w:sz w:val="24"/>
          <w:szCs w:val="24"/>
        </w:rPr>
        <w:t xml:space="preserve">.  In 1994, the second reading </w:t>
      </w:r>
      <w:r w:rsidR="00A927CA" w:rsidRPr="00246FEC">
        <w:rPr>
          <w:rFonts w:ascii="Times New Roman" w:eastAsia="Times New Roman" w:hAnsi="Times New Roman" w:cs="Times New Roman"/>
          <w:sz w:val="24"/>
          <w:szCs w:val="24"/>
        </w:rPr>
        <w:t xml:space="preserve">(1994-A016) </w:t>
      </w:r>
      <w:r w:rsidRPr="00246FEC">
        <w:rPr>
          <w:rFonts w:ascii="Times New Roman" w:eastAsia="Times New Roman" w:hAnsi="Times New Roman" w:cs="Times New Roman"/>
          <w:sz w:val="24"/>
          <w:szCs w:val="24"/>
        </w:rPr>
        <w:t xml:space="preserve">was rejected by a large margin </w:t>
      </w:r>
      <w:r w:rsidR="00190D5F" w:rsidRPr="00246FEC">
        <w:rPr>
          <w:rFonts w:ascii="Times New Roman" w:eastAsia="Times New Roman" w:hAnsi="Times New Roman" w:cs="Times New Roman"/>
          <w:sz w:val="24"/>
          <w:szCs w:val="24"/>
        </w:rPr>
        <w:t>of</w:t>
      </w:r>
      <w:r w:rsidRPr="00246FEC">
        <w:rPr>
          <w:rFonts w:ascii="Times New Roman" w:eastAsia="Times New Roman" w:hAnsi="Times New Roman" w:cs="Times New Roman"/>
          <w:sz w:val="24"/>
          <w:szCs w:val="24"/>
        </w:rPr>
        <w:t xml:space="preserve"> “the </w:t>
      </w:r>
      <w:r w:rsidR="00A927CA" w:rsidRPr="00246FEC">
        <w:rPr>
          <w:rFonts w:ascii="Times New Roman" w:eastAsia="Times New Roman" w:hAnsi="Times New Roman" w:cs="Times New Roman"/>
          <w:sz w:val="24"/>
          <w:szCs w:val="24"/>
        </w:rPr>
        <w:t>D</w:t>
      </w:r>
      <w:r w:rsidRPr="00246FEC">
        <w:rPr>
          <w:rFonts w:ascii="Times New Roman" w:eastAsia="Times New Roman" w:hAnsi="Times New Roman" w:cs="Times New Roman"/>
          <w:sz w:val="24"/>
          <w:szCs w:val="24"/>
        </w:rPr>
        <w:t xml:space="preserve">ioceses entitled to representation” voting by orders as the </w:t>
      </w:r>
      <w:r w:rsidR="00A927CA" w:rsidRPr="00246FEC">
        <w:rPr>
          <w:rFonts w:ascii="Times New Roman" w:eastAsia="Times New Roman" w:hAnsi="Times New Roman" w:cs="Times New Roman"/>
          <w:sz w:val="24"/>
          <w:szCs w:val="24"/>
        </w:rPr>
        <w:t>C</w:t>
      </w:r>
      <w:r w:rsidRPr="00246FEC">
        <w:rPr>
          <w:rFonts w:ascii="Times New Roman" w:eastAsia="Times New Roman" w:hAnsi="Times New Roman" w:cs="Times New Roman"/>
          <w:sz w:val="24"/>
          <w:szCs w:val="24"/>
        </w:rPr>
        <w:t>onstitution specifies</w:t>
      </w:r>
      <w:r w:rsidR="00A927CA" w:rsidRPr="00246FEC">
        <w:rPr>
          <w:rFonts w:ascii="Times New Roman" w:eastAsia="Times New Roman" w:hAnsi="Times New Roman" w:cs="Times New Roman"/>
          <w:sz w:val="24"/>
          <w:szCs w:val="24"/>
        </w:rPr>
        <w:t xml:space="preserve"> in Article XII</w:t>
      </w:r>
      <w:r w:rsidRPr="00246FEC">
        <w:rPr>
          <w:rFonts w:ascii="Times New Roman" w:eastAsia="Times New Roman" w:hAnsi="Times New Roman" w:cs="Times New Roman"/>
          <w:sz w:val="24"/>
          <w:szCs w:val="24"/>
        </w:rPr>
        <w:t>.</w:t>
      </w:r>
    </w:p>
    <w:p w:rsidR="00A927CA" w:rsidRPr="00246FEC" w:rsidRDefault="00A927CA" w:rsidP="002E00CF">
      <w:pPr>
        <w:spacing w:after="0"/>
        <w:rPr>
          <w:rFonts w:ascii="Times New Roman" w:eastAsia="Times New Roman" w:hAnsi="Times New Roman" w:cs="Times New Roman"/>
          <w:sz w:val="24"/>
          <w:szCs w:val="24"/>
        </w:rPr>
      </w:pPr>
    </w:p>
    <w:p w:rsidR="00A927CA" w:rsidRPr="00246FEC" w:rsidRDefault="00A927CA" w:rsidP="002E00CF">
      <w:pPr>
        <w:spacing w:after="0"/>
        <w:rPr>
          <w:rFonts w:ascii="Times New Roman" w:eastAsia="Times New Roman" w:hAnsi="Times New Roman" w:cs="Times New Roman"/>
          <w:bCs/>
          <w:sz w:val="24"/>
          <w:szCs w:val="24"/>
        </w:rPr>
      </w:pPr>
      <w:r w:rsidRPr="00246FEC">
        <w:rPr>
          <w:rFonts w:ascii="Times New Roman" w:eastAsia="Times New Roman" w:hAnsi="Times New Roman" w:cs="Times New Roman"/>
          <w:sz w:val="24"/>
          <w:szCs w:val="24"/>
        </w:rPr>
        <w:t xml:space="preserve">In 1997, the General Convention passed Resolution C-021, again asking the SCLM and </w:t>
      </w:r>
      <w:r w:rsidRPr="00246FEC">
        <w:rPr>
          <w:rFonts w:ascii="Times New Roman" w:eastAsia="Times New Roman" w:hAnsi="Times New Roman" w:cs="Times New Roman"/>
          <w:bCs/>
          <w:sz w:val="24"/>
          <w:szCs w:val="24"/>
        </w:rPr>
        <w:t>the Standing Commission on Constitution and Canons “to submit to the 73rd General Convention for first reading an amendment to the Constitution of this Church to add to Article X an authorization for preparation and use of additional liturgical materials.”</w:t>
      </w:r>
    </w:p>
    <w:p w:rsidR="00A927CA" w:rsidRPr="00246FEC" w:rsidRDefault="00A927CA" w:rsidP="002E00CF">
      <w:pPr>
        <w:spacing w:after="0"/>
        <w:rPr>
          <w:rFonts w:ascii="Times New Roman" w:eastAsia="Times New Roman" w:hAnsi="Times New Roman" w:cs="Times New Roman"/>
          <w:bCs/>
          <w:sz w:val="24"/>
          <w:szCs w:val="24"/>
        </w:rPr>
      </w:pPr>
    </w:p>
    <w:p w:rsidR="00A927CA" w:rsidRPr="00246FEC" w:rsidRDefault="00A927CA" w:rsidP="002E00CF">
      <w:pPr>
        <w:spacing w:after="0"/>
        <w:rPr>
          <w:rFonts w:ascii="Times New Roman" w:eastAsia="Times New Roman" w:hAnsi="Times New Roman" w:cs="Times New Roman"/>
          <w:bCs/>
          <w:sz w:val="24"/>
          <w:szCs w:val="24"/>
        </w:rPr>
      </w:pPr>
      <w:r w:rsidRPr="00246FEC">
        <w:rPr>
          <w:rFonts w:ascii="Times New Roman" w:eastAsia="Times New Roman" w:hAnsi="Times New Roman" w:cs="Times New Roman"/>
          <w:bCs/>
          <w:sz w:val="24"/>
          <w:szCs w:val="24"/>
        </w:rPr>
        <w:t>As requested, Resolution A-132</w:t>
      </w:r>
      <w:r w:rsidR="00190D5F" w:rsidRPr="00246FEC">
        <w:rPr>
          <w:rFonts w:ascii="Times New Roman" w:eastAsia="Times New Roman" w:hAnsi="Times New Roman" w:cs="Times New Roman"/>
          <w:bCs/>
          <w:sz w:val="24"/>
          <w:szCs w:val="24"/>
        </w:rPr>
        <w:t>,</w:t>
      </w:r>
      <w:r w:rsidRPr="00246FEC">
        <w:rPr>
          <w:rFonts w:ascii="Times New Roman" w:eastAsia="Times New Roman" w:hAnsi="Times New Roman" w:cs="Times New Roman"/>
          <w:bCs/>
          <w:sz w:val="24"/>
          <w:szCs w:val="24"/>
        </w:rPr>
        <w:t xml:space="preserve"> </w:t>
      </w:r>
      <w:r w:rsidR="00190D5F" w:rsidRPr="00246FEC">
        <w:rPr>
          <w:rFonts w:ascii="Times New Roman" w:eastAsia="Times New Roman" w:hAnsi="Times New Roman" w:cs="Times New Roman"/>
          <w:bCs/>
          <w:sz w:val="24"/>
          <w:szCs w:val="24"/>
        </w:rPr>
        <w:t xml:space="preserve">containing language identical to that proposed yet again this year for consideration in 2015, </w:t>
      </w:r>
      <w:r w:rsidRPr="00246FEC">
        <w:rPr>
          <w:rFonts w:ascii="Times New Roman" w:eastAsia="Times New Roman" w:hAnsi="Times New Roman" w:cs="Times New Roman"/>
          <w:bCs/>
          <w:sz w:val="24"/>
          <w:szCs w:val="24"/>
        </w:rPr>
        <w:t xml:space="preserve">was proposed and passed a first reading in 2000.  The proposed amendment was </w:t>
      </w:r>
      <w:r w:rsidR="00190D5F" w:rsidRPr="00246FEC">
        <w:rPr>
          <w:rFonts w:ascii="Times New Roman" w:eastAsia="Times New Roman" w:hAnsi="Times New Roman" w:cs="Times New Roman"/>
          <w:bCs/>
          <w:sz w:val="24"/>
          <w:szCs w:val="24"/>
        </w:rPr>
        <w:t xml:space="preserve">then </w:t>
      </w:r>
      <w:r w:rsidRPr="00246FEC">
        <w:rPr>
          <w:rFonts w:ascii="Times New Roman" w:eastAsia="Times New Roman" w:hAnsi="Times New Roman" w:cs="Times New Roman"/>
          <w:bCs/>
          <w:sz w:val="24"/>
          <w:szCs w:val="24"/>
        </w:rPr>
        <w:t xml:space="preserve">sent to the dioceses in 2000 as the Constitution requires and was rejected again in 2003 when it was considered </w:t>
      </w:r>
      <w:r w:rsidR="00942193" w:rsidRPr="00246FEC">
        <w:rPr>
          <w:rFonts w:ascii="Times New Roman" w:eastAsia="Times New Roman" w:hAnsi="Times New Roman" w:cs="Times New Roman"/>
          <w:bCs/>
          <w:sz w:val="24"/>
          <w:szCs w:val="24"/>
        </w:rPr>
        <w:t>( 2003-A108) on</w:t>
      </w:r>
      <w:r w:rsidRPr="00246FEC">
        <w:rPr>
          <w:rFonts w:ascii="Times New Roman" w:eastAsia="Times New Roman" w:hAnsi="Times New Roman" w:cs="Times New Roman"/>
          <w:bCs/>
          <w:sz w:val="24"/>
          <w:szCs w:val="24"/>
        </w:rPr>
        <w:t xml:space="preserve"> the second reading</w:t>
      </w:r>
      <w:r w:rsidR="00942193" w:rsidRPr="00246FEC">
        <w:rPr>
          <w:rFonts w:ascii="Times New Roman" w:eastAsia="Times New Roman" w:hAnsi="Times New Roman" w:cs="Times New Roman"/>
          <w:bCs/>
          <w:sz w:val="24"/>
          <w:szCs w:val="24"/>
        </w:rPr>
        <w:t>.</w:t>
      </w:r>
    </w:p>
    <w:p w:rsidR="00942193" w:rsidRPr="00246FEC" w:rsidRDefault="00942193" w:rsidP="002E00CF">
      <w:pPr>
        <w:spacing w:after="0"/>
        <w:rPr>
          <w:rFonts w:ascii="Times New Roman" w:eastAsia="Times New Roman" w:hAnsi="Times New Roman" w:cs="Times New Roman"/>
          <w:bCs/>
          <w:sz w:val="24"/>
          <w:szCs w:val="24"/>
        </w:rPr>
      </w:pPr>
    </w:p>
    <w:p w:rsidR="00942193" w:rsidRPr="00246FEC" w:rsidRDefault="00942193" w:rsidP="002E00CF">
      <w:pPr>
        <w:spacing w:after="0"/>
        <w:rPr>
          <w:rFonts w:ascii="Times New Roman" w:hAnsi="Times New Roman" w:cs="Times New Roman"/>
          <w:bCs/>
          <w:sz w:val="24"/>
          <w:szCs w:val="24"/>
        </w:rPr>
      </w:pPr>
      <w:r w:rsidRPr="00246FEC">
        <w:rPr>
          <w:rFonts w:ascii="Times New Roman" w:eastAsia="Times New Roman" w:hAnsi="Times New Roman" w:cs="Times New Roman"/>
          <w:bCs/>
          <w:sz w:val="24"/>
          <w:szCs w:val="24"/>
        </w:rPr>
        <w:t xml:space="preserve">In 2006, the </w:t>
      </w:r>
      <w:r w:rsidR="001D41BB" w:rsidRPr="00246FEC">
        <w:rPr>
          <w:rFonts w:ascii="Times New Roman" w:eastAsia="Times New Roman" w:hAnsi="Times New Roman" w:cs="Times New Roman"/>
          <w:bCs/>
          <w:sz w:val="24"/>
          <w:szCs w:val="24"/>
        </w:rPr>
        <w:t xml:space="preserve">General Convention tried again.  It passed Resolution </w:t>
      </w:r>
      <w:r w:rsidR="00F42B2D" w:rsidRPr="00246FEC">
        <w:rPr>
          <w:rFonts w:ascii="Times New Roman" w:eastAsia="Times New Roman" w:hAnsi="Times New Roman" w:cs="Times New Roman"/>
          <w:bCs/>
          <w:sz w:val="24"/>
          <w:szCs w:val="24"/>
        </w:rPr>
        <w:t xml:space="preserve">A-078 in which it </w:t>
      </w:r>
      <w:r w:rsidRPr="00246FEC">
        <w:rPr>
          <w:rFonts w:ascii="Times New Roman" w:hAnsi="Times New Roman" w:cs="Times New Roman"/>
          <w:bCs/>
          <w:sz w:val="24"/>
          <w:szCs w:val="24"/>
        </w:rPr>
        <w:t>invite</w:t>
      </w:r>
      <w:r w:rsidR="00F42B2D" w:rsidRPr="00246FEC">
        <w:rPr>
          <w:rFonts w:ascii="Times New Roman" w:hAnsi="Times New Roman" w:cs="Times New Roman"/>
          <w:bCs/>
          <w:sz w:val="24"/>
          <w:szCs w:val="24"/>
        </w:rPr>
        <w:t>d</w:t>
      </w:r>
      <w:r w:rsidRPr="00246FEC">
        <w:rPr>
          <w:rFonts w:ascii="Times New Roman" w:hAnsi="Times New Roman" w:cs="Times New Roman"/>
          <w:bCs/>
          <w:sz w:val="24"/>
          <w:szCs w:val="24"/>
        </w:rPr>
        <w:t xml:space="preserve"> </w:t>
      </w:r>
      <w:r w:rsidR="00F42B2D" w:rsidRPr="00246FEC">
        <w:rPr>
          <w:rFonts w:ascii="Times New Roman" w:hAnsi="Times New Roman" w:cs="Times New Roman"/>
          <w:bCs/>
          <w:sz w:val="24"/>
          <w:szCs w:val="24"/>
        </w:rPr>
        <w:t>“</w:t>
      </w:r>
      <w:r w:rsidRPr="00246FEC">
        <w:rPr>
          <w:rFonts w:ascii="Times New Roman" w:hAnsi="Times New Roman" w:cs="Times New Roman"/>
          <w:bCs/>
          <w:sz w:val="24"/>
          <w:szCs w:val="24"/>
        </w:rPr>
        <w:t>bishops and the larger church into dialogue about the relations between local liturgical initiatives and ordered authority</w:t>
      </w:r>
      <w:r w:rsidR="00F42B2D" w:rsidRPr="00246FEC">
        <w:rPr>
          <w:rFonts w:ascii="Times New Roman" w:hAnsi="Times New Roman" w:cs="Times New Roman"/>
          <w:bCs/>
          <w:sz w:val="24"/>
          <w:szCs w:val="24"/>
        </w:rPr>
        <w:t>” and asked the two standing commissions once again to “</w:t>
      </w:r>
      <w:r w:rsidRPr="00246FEC">
        <w:rPr>
          <w:rFonts w:ascii="Times New Roman" w:hAnsi="Times New Roman" w:cs="Times New Roman"/>
          <w:bCs/>
          <w:sz w:val="24"/>
          <w:szCs w:val="24"/>
        </w:rPr>
        <w:t>examine canons and rubrics that govern the development and use of liturgical materials and propose amendments authorizing appropriate local and regional liturgical initiatives</w:t>
      </w:r>
      <w:r w:rsidR="00F42B2D" w:rsidRPr="00246FEC">
        <w:rPr>
          <w:rFonts w:ascii="Times New Roman" w:hAnsi="Times New Roman" w:cs="Times New Roman"/>
          <w:bCs/>
          <w:sz w:val="24"/>
          <w:szCs w:val="24"/>
        </w:rPr>
        <w:t>.”  The explanation noted that</w:t>
      </w:r>
    </w:p>
    <w:p w:rsidR="00942193" w:rsidRPr="00246FEC" w:rsidRDefault="00942193" w:rsidP="002E00CF">
      <w:pPr>
        <w:spacing w:after="0"/>
        <w:rPr>
          <w:rFonts w:ascii="Times New Roman" w:hAnsi="Times New Roman" w:cs="Times New Roman"/>
          <w:bCs/>
          <w:sz w:val="24"/>
          <w:szCs w:val="24"/>
        </w:rPr>
      </w:pPr>
    </w:p>
    <w:p w:rsidR="00942193" w:rsidRPr="00246FEC" w:rsidRDefault="00942193" w:rsidP="002E00CF">
      <w:pPr>
        <w:ind w:left="720"/>
        <w:rPr>
          <w:rFonts w:ascii="Times New Roman" w:hAnsi="Times New Roman" w:cs="Times New Roman"/>
          <w:sz w:val="24"/>
          <w:szCs w:val="24"/>
        </w:rPr>
      </w:pPr>
      <w:r w:rsidRPr="00246FEC">
        <w:rPr>
          <w:rFonts w:ascii="Times New Roman" w:hAnsi="Times New Roman" w:cs="Times New Roman"/>
          <w:sz w:val="24"/>
          <w:szCs w:val="24"/>
        </w:rPr>
        <w:t xml:space="preserve">The multiplication of liturgical and musical materials intended for occasional use at the direction of the Diocesan bishop </w:t>
      </w:r>
      <w:r w:rsidR="00F42B2D" w:rsidRPr="00246FEC">
        <w:rPr>
          <w:rFonts w:ascii="Times New Roman" w:hAnsi="Times New Roman" w:cs="Times New Roman"/>
          <w:sz w:val="24"/>
          <w:szCs w:val="24"/>
        </w:rPr>
        <w:t>…</w:t>
      </w:r>
      <w:r w:rsidRPr="00246FEC">
        <w:rPr>
          <w:rFonts w:ascii="Times New Roman" w:hAnsi="Times New Roman" w:cs="Times New Roman"/>
          <w:sz w:val="24"/>
          <w:szCs w:val="24"/>
        </w:rPr>
        <w:t xml:space="preserve"> has rendered the meanings of prayer book phrases like </w:t>
      </w:r>
      <w:r w:rsidRPr="00246FEC">
        <w:rPr>
          <w:rFonts w:ascii="Times New Roman" w:hAnsi="Times New Roman" w:cs="Times New Roman"/>
          <w:i/>
          <w:sz w:val="24"/>
          <w:szCs w:val="24"/>
        </w:rPr>
        <w:t>forms set forth by authority with this Church</w:t>
      </w:r>
      <w:r w:rsidRPr="00246FEC">
        <w:rPr>
          <w:rFonts w:ascii="Times New Roman" w:hAnsi="Times New Roman" w:cs="Times New Roman"/>
          <w:sz w:val="24"/>
          <w:szCs w:val="24"/>
        </w:rPr>
        <w:t xml:space="preserve"> and </w:t>
      </w:r>
      <w:r w:rsidRPr="00246FEC">
        <w:rPr>
          <w:rFonts w:ascii="Times New Roman" w:hAnsi="Times New Roman" w:cs="Times New Roman"/>
          <w:i/>
          <w:sz w:val="24"/>
          <w:szCs w:val="24"/>
        </w:rPr>
        <w:t>subject to the direction of the bishop</w:t>
      </w:r>
      <w:r w:rsidRPr="00246FEC">
        <w:rPr>
          <w:rFonts w:ascii="Times New Roman" w:hAnsi="Times New Roman" w:cs="Times New Roman"/>
          <w:sz w:val="24"/>
          <w:szCs w:val="24"/>
        </w:rPr>
        <w:t xml:space="preserve"> (BCP p. 13) and </w:t>
      </w:r>
      <w:r w:rsidRPr="00246FEC">
        <w:rPr>
          <w:rFonts w:ascii="Times New Roman" w:hAnsi="Times New Roman" w:cs="Times New Roman"/>
          <w:i/>
          <w:sz w:val="24"/>
          <w:szCs w:val="24"/>
        </w:rPr>
        <w:t>hymns...authorized by this Church</w:t>
      </w:r>
      <w:r w:rsidRPr="00246FEC">
        <w:rPr>
          <w:rFonts w:ascii="Times New Roman" w:hAnsi="Times New Roman" w:cs="Times New Roman"/>
          <w:sz w:val="24"/>
          <w:szCs w:val="24"/>
        </w:rPr>
        <w:t xml:space="preserve"> (BCP p. 14) difficult to interpret</w:t>
      </w:r>
      <w:r w:rsidR="00F42B2D" w:rsidRPr="00246FEC">
        <w:rPr>
          <w:rFonts w:ascii="Times New Roman" w:hAnsi="Times New Roman" w:cs="Times New Roman"/>
          <w:sz w:val="24"/>
          <w:szCs w:val="24"/>
        </w:rPr>
        <w:t>….</w:t>
      </w:r>
      <w:r w:rsidRPr="00246FEC">
        <w:rPr>
          <w:rFonts w:ascii="Times New Roman" w:hAnsi="Times New Roman" w:cs="Times New Roman"/>
          <w:sz w:val="24"/>
          <w:szCs w:val="24"/>
        </w:rPr>
        <w:t xml:space="preserve">  It is time to give serious consideration to a structure in which these resources can be understood and evaluated, in order to</w:t>
      </w:r>
      <w:r w:rsidRPr="00246FEC">
        <w:rPr>
          <w:rFonts w:ascii="Times New Roman" w:hAnsi="Times New Roman" w:cs="Times New Roman"/>
          <w:b/>
          <w:sz w:val="24"/>
          <w:szCs w:val="24"/>
        </w:rPr>
        <w:t xml:space="preserve"> </w:t>
      </w:r>
      <w:r w:rsidRPr="00246FEC">
        <w:rPr>
          <w:rFonts w:ascii="Times New Roman" w:hAnsi="Times New Roman" w:cs="Times New Roman"/>
          <w:sz w:val="24"/>
          <w:szCs w:val="24"/>
        </w:rPr>
        <w:t>honor the spirit of prayer book rubrics</w:t>
      </w:r>
      <w:r w:rsidR="00F42B2D" w:rsidRPr="00246FEC">
        <w:rPr>
          <w:rFonts w:ascii="Times New Roman" w:hAnsi="Times New Roman" w:cs="Times New Roman"/>
          <w:sz w:val="24"/>
          <w:szCs w:val="24"/>
        </w:rPr>
        <w:t>….</w:t>
      </w:r>
      <w:r w:rsidRPr="00246FEC">
        <w:rPr>
          <w:rFonts w:ascii="Times New Roman" w:hAnsi="Times New Roman" w:cs="Times New Roman"/>
          <w:b/>
          <w:sz w:val="24"/>
          <w:szCs w:val="24"/>
        </w:rPr>
        <w:t xml:space="preserve"> </w:t>
      </w:r>
    </w:p>
    <w:p w:rsidR="006901DC" w:rsidRPr="00246FEC" w:rsidRDefault="00F42B2D" w:rsidP="002E00CF">
      <w:pPr>
        <w:spacing w:after="0"/>
        <w:rPr>
          <w:rFonts w:ascii="Times New Roman" w:eastAsia="Times New Roman" w:hAnsi="Times New Roman" w:cs="Times New Roman"/>
          <w:sz w:val="24"/>
          <w:szCs w:val="24"/>
        </w:rPr>
      </w:pPr>
      <w:r w:rsidRPr="00246FEC">
        <w:rPr>
          <w:rFonts w:ascii="Times New Roman" w:eastAsia="Times New Roman" w:hAnsi="Times New Roman" w:cs="Times New Roman"/>
          <w:sz w:val="24"/>
          <w:szCs w:val="24"/>
        </w:rPr>
        <w:t>What is most remarkable about this twenty-five year effort to give General Convention the authority to supplement</w:t>
      </w:r>
      <w:r w:rsidR="002F7FDE" w:rsidRPr="00246FEC">
        <w:rPr>
          <w:rFonts w:ascii="Times New Roman" w:eastAsia="Times New Roman" w:hAnsi="Times New Roman" w:cs="Times New Roman"/>
          <w:sz w:val="24"/>
          <w:szCs w:val="24"/>
        </w:rPr>
        <w:t xml:space="preserve"> the BCP is that </w:t>
      </w:r>
      <w:r w:rsidR="002F7FDE" w:rsidRPr="002E00CF">
        <w:rPr>
          <w:rFonts w:ascii="Times New Roman" w:eastAsia="Times New Roman" w:hAnsi="Times New Roman" w:cs="Times New Roman"/>
          <w:i/>
          <w:sz w:val="24"/>
          <w:szCs w:val="24"/>
        </w:rPr>
        <w:t>the recognized lack of constitutional authority has not stopped General Convention from authorizing these additional rites anyway</w:t>
      </w:r>
      <w:r w:rsidR="0011112D">
        <w:rPr>
          <w:rFonts w:ascii="Times New Roman" w:eastAsia="Times New Roman" w:hAnsi="Times New Roman" w:cs="Times New Roman"/>
          <w:sz w:val="24"/>
          <w:szCs w:val="24"/>
        </w:rPr>
        <w:t>.</w:t>
      </w:r>
      <w:r w:rsidR="002F7FDE" w:rsidRPr="00246FEC">
        <w:rPr>
          <w:rFonts w:ascii="Times New Roman" w:eastAsia="Times New Roman" w:hAnsi="Times New Roman" w:cs="Times New Roman"/>
          <w:sz w:val="24"/>
          <w:szCs w:val="24"/>
        </w:rPr>
        <w:t xml:space="preserve">  Indeed, this year the General Convention is doubling down on its lawlessness: even as it is </w:t>
      </w:r>
      <w:r w:rsidR="0010034A">
        <w:rPr>
          <w:rFonts w:ascii="Times New Roman" w:eastAsia="Times New Roman" w:hAnsi="Times New Roman" w:cs="Times New Roman"/>
          <w:sz w:val="24"/>
          <w:szCs w:val="24"/>
        </w:rPr>
        <w:t xml:space="preserve">a) </w:t>
      </w:r>
      <w:r w:rsidR="002F7FDE" w:rsidRPr="00246FEC">
        <w:rPr>
          <w:rFonts w:ascii="Times New Roman" w:eastAsia="Times New Roman" w:hAnsi="Times New Roman" w:cs="Times New Roman"/>
          <w:sz w:val="24"/>
          <w:szCs w:val="24"/>
        </w:rPr>
        <w:t xml:space="preserve">requesting </w:t>
      </w:r>
      <w:r w:rsidR="00190D5F" w:rsidRPr="00246FEC">
        <w:rPr>
          <w:rFonts w:ascii="Times New Roman" w:eastAsia="Times New Roman" w:hAnsi="Times New Roman" w:cs="Times New Roman"/>
          <w:sz w:val="24"/>
          <w:szCs w:val="24"/>
        </w:rPr>
        <w:t xml:space="preserve">amendment to the Constitution to “create” </w:t>
      </w:r>
      <w:r w:rsidR="002F7FDE" w:rsidRPr="00246FEC">
        <w:rPr>
          <w:rFonts w:ascii="Times New Roman" w:eastAsia="Times New Roman" w:hAnsi="Times New Roman" w:cs="Times New Roman"/>
          <w:sz w:val="24"/>
          <w:szCs w:val="24"/>
        </w:rPr>
        <w:t xml:space="preserve">this authority, it is </w:t>
      </w:r>
      <w:r w:rsidR="0010034A">
        <w:rPr>
          <w:rFonts w:ascii="Times New Roman" w:eastAsia="Times New Roman" w:hAnsi="Times New Roman" w:cs="Times New Roman"/>
          <w:sz w:val="24"/>
          <w:szCs w:val="24"/>
        </w:rPr>
        <w:t xml:space="preserve">b) </w:t>
      </w:r>
      <w:r w:rsidR="00190D5F" w:rsidRPr="00246FEC">
        <w:rPr>
          <w:rFonts w:ascii="Times New Roman" w:eastAsia="Times New Roman" w:hAnsi="Times New Roman" w:cs="Times New Roman"/>
          <w:sz w:val="24"/>
          <w:szCs w:val="24"/>
        </w:rPr>
        <w:t>proposing to proceed with a</w:t>
      </w:r>
      <w:r w:rsidR="002F7FDE" w:rsidRPr="00246FEC">
        <w:rPr>
          <w:rFonts w:ascii="Times New Roman" w:eastAsia="Times New Roman" w:hAnsi="Times New Roman" w:cs="Times New Roman"/>
          <w:sz w:val="24"/>
          <w:szCs w:val="24"/>
        </w:rPr>
        <w:t>uthorizing new rites contravening the existing c</w:t>
      </w:r>
      <w:r w:rsidR="0010034A">
        <w:rPr>
          <w:rFonts w:ascii="Times New Roman" w:eastAsia="Times New Roman" w:hAnsi="Times New Roman" w:cs="Times New Roman"/>
          <w:sz w:val="24"/>
          <w:szCs w:val="24"/>
        </w:rPr>
        <w:t xml:space="preserve">onstitutional </w:t>
      </w:r>
      <w:proofErr w:type="spellStart"/>
      <w:r w:rsidR="0010034A">
        <w:rPr>
          <w:rFonts w:ascii="Times New Roman" w:eastAsia="Times New Roman" w:hAnsi="Times New Roman" w:cs="Times New Roman"/>
          <w:sz w:val="24"/>
          <w:szCs w:val="24"/>
        </w:rPr>
        <w:t>rites</w:t>
      </w:r>
      <w:proofErr w:type="spellEnd"/>
      <w:r w:rsidR="0010034A">
        <w:rPr>
          <w:rFonts w:ascii="Times New Roman" w:eastAsia="Times New Roman" w:hAnsi="Times New Roman" w:cs="Times New Roman"/>
          <w:sz w:val="24"/>
          <w:szCs w:val="24"/>
        </w:rPr>
        <w:t xml:space="preserve"> and rubrics,</w:t>
      </w:r>
      <w:r w:rsidR="002F7FDE" w:rsidRPr="00246FEC">
        <w:rPr>
          <w:rFonts w:ascii="Times New Roman" w:eastAsia="Times New Roman" w:hAnsi="Times New Roman" w:cs="Times New Roman"/>
          <w:sz w:val="24"/>
          <w:szCs w:val="24"/>
        </w:rPr>
        <w:t xml:space="preserve"> to take away the authority of the one church office, the Diocesan Bishop, explicitly authorized to approve supplemental rites</w:t>
      </w:r>
      <w:r w:rsidR="0010034A">
        <w:rPr>
          <w:rFonts w:ascii="Times New Roman" w:eastAsia="Times New Roman" w:hAnsi="Times New Roman" w:cs="Times New Roman"/>
          <w:sz w:val="24"/>
          <w:szCs w:val="24"/>
        </w:rPr>
        <w:t>,</w:t>
      </w:r>
      <w:r w:rsidR="002F7FDE" w:rsidRPr="00246FEC">
        <w:rPr>
          <w:rFonts w:ascii="Times New Roman" w:eastAsia="Times New Roman" w:hAnsi="Times New Roman" w:cs="Times New Roman"/>
          <w:sz w:val="24"/>
          <w:szCs w:val="24"/>
        </w:rPr>
        <w:t xml:space="preserve"> and </w:t>
      </w:r>
      <w:r w:rsidR="0010034A">
        <w:rPr>
          <w:rFonts w:ascii="Times New Roman" w:eastAsia="Times New Roman" w:hAnsi="Times New Roman" w:cs="Times New Roman"/>
          <w:sz w:val="24"/>
          <w:szCs w:val="24"/>
        </w:rPr>
        <w:t xml:space="preserve">c) </w:t>
      </w:r>
      <w:r w:rsidR="00190D5F" w:rsidRPr="00246FEC">
        <w:rPr>
          <w:rFonts w:ascii="Times New Roman" w:eastAsia="Times New Roman" w:hAnsi="Times New Roman" w:cs="Times New Roman"/>
          <w:sz w:val="24"/>
          <w:szCs w:val="24"/>
        </w:rPr>
        <w:t>p</w:t>
      </w:r>
      <w:r w:rsidR="002F7FDE" w:rsidRPr="00246FEC">
        <w:rPr>
          <w:rFonts w:ascii="Times New Roman" w:eastAsia="Times New Roman" w:hAnsi="Times New Roman" w:cs="Times New Roman"/>
          <w:sz w:val="24"/>
          <w:szCs w:val="24"/>
        </w:rPr>
        <w:t>urporting to give permission to bishops to ignore BCP rubrics and constitutional and canonical requirements.</w:t>
      </w:r>
    </w:p>
    <w:p w:rsidR="00643A55" w:rsidRPr="00246FEC" w:rsidRDefault="00643A55" w:rsidP="002E00CF">
      <w:pPr>
        <w:spacing w:after="0"/>
        <w:rPr>
          <w:rFonts w:ascii="Times New Roman" w:eastAsia="Times New Roman" w:hAnsi="Times New Roman" w:cs="Times New Roman"/>
          <w:sz w:val="24"/>
          <w:szCs w:val="24"/>
        </w:rPr>
      </w:pPr>
    </w:p>
    <w:p w:rsidR="00CD57D0" w:rsidRPr="00246FEC" w:rsidRDefault="00607F1D" w:rsidP="002E00CF">
      <w:pPr>
        <w:spacing w:after="0"/>
        <w:rPr>
          <w:rFonts w:ascii="Times New Roman" w:eastAsia="Times New Roman" w:hAnsi="Times New Roman" w:cs="Times New Roman"/>
          <w:sz w:val="24"/>
          <w:szCs w:val="24"/>
        </w:rPr>
      </w:pPr>
      <w:r w:rsidRPr="00246FEC">
        <w:rPr>
          <w:rFonts w:ascii="Times New Roman" w:eastAsia="Times New Roman" w:hAnsi="Times New Roman" w:cs="Times New Roman"/>
          <w:sz w:val="24"/>
          <w:szCs w:val="24"/>
        </w:rPr>
        <w:t>We noted in 2012 that the former bishop of New York</w:t>
      </w:r>
      <w:r w:rsidR="00CD57D0" w:rsidRPr="00246FEC">
        <w:rPr>
          <w:rFonts w:ascii="Times New Roman" w:eastAsia="Times New Roman" w:hAnsi="Times New Roman" w:cs="Times New Roman"/>
          <w:sz w:val="24"/>
          <w:szCs w:val="24"/>
        </w:rPr>
        <w:t xml:space="preserve"> reversed his position and permitted his clergy to perform same sex marriages following that year’s General Convention.  He concluded “we are left with a situation in which the mind of this recent Convention appears to be to allow </w:t>
      </w:r>
      <w:r w:rsidR="00CD57D0" w:rsidRPr="00246FEC">
        <w:rPr>
          <w:rFonts w:ascii="Times New Roman" w:eastAsia="Times New Roman" w:hAnsi="Times New Roman" w:cs="Times New Roman"/>
          <w:sz w:val="24"/>
          <w:szCs w:val="24"/>
        </w:rPr>
        <w:lastRenderedPageBreak/>
        <w:t xml:space="preserve">such services. However, The Constitution and The Book of Common Prayer still say something else.” </w:t>
      </w:r>
    </w:p>
    <w:p w:rsidR="00643A55" w:rsidRPr="00246FEC" w:rsidRDefault="00643A55" w:rsidP="002E00CF">
      <w:pPr>
        <w:spacing w:after="0"/>
        <w:rPr>
          <w:rFonts w:ascii="Times New Roman" w:eastAsia="Times New Roman" w:hAnsi="Times New Roman" w:cs="Times New Roman"/>
          <w:sz w:val="24"/>
          <w:szCs w:val="24"/>
        </w:rPr>
      </w:pPr>
    </w:p>
    <w:p w:rsidR="000B426C" w:rsidRPr="00246FEC" w:rsidRDefault="00CD57D0" w:rsidP="002E00CF">
      <w:pPr>
        <w:spacing w:after="0"/>
        <w:rPr>
          <w:rFonts w:ascii="Times New Roman" w:eastAsia="Times New Roman" w:hAnsi="Times New Roman" w:cs="Times New Roman"/>
          <w:sz w:val="24"/>
          <w:szCs w:val="24"/>
        </w:rPr>
      </w:pPr>
      <w:r w:rsidRPr="00246FEC">
        <w:rPr>
          <w:rFonts w:ascii="Times New Roman" w:eastAsia="Times New Roman" w:hAnsi="Times New Roman" w:cs="Times New Roman"/>
          <w:sz w:val="24"/>
          <w:szCs w:val="24"/>
        </w:rPr>
        <w:t>This perfectly summarizes the distinction between the NEC and TEC.  For the NEC “the mind of this General Convention” is the only authority, trumping not only the Constitution and the BCP but any other canonical or legal impediment</w:t>
      </w:r>
      <w:r w:rsidR="0058009B" w:rsidRPr="00246FEC">
        <w:rPr>
          <w:rFonts w:ascii="Times New Roman" w:eastAsia="Times New Roman" w:hAnsi="Times New Roman" w:cs="Times New Roman"/>
          <w:sz w:val="24"/>
          <w:szCs w:val="24"/>
        </w:rPr>
        <w:t xml:space="preserve"> that </w:t>
      </w:r>
      <w:r w:rsidRPr="00246FEC">
        <w:rPr>
          <w:rFonts w:ascii="Times New Roman" w:eastAsia="Times New Roman" w:hAnsi="Times New Roman" w:cs="Times New Roman"/>
          <w:sz w:val="24"/>
          <w:szCs w:val="24"/>
        </w:rPr>
        <w:t>exists to realiz</w:t>
      </w:r>
      <w:r w:rsidR="0058009B" w:rsidRPr="00246FEC">
        <w:rPr>
          <w:rFonts w:ascii="Times New Roman" w:eastAsia="Times New Roman" w:hAnsi="Times New Roman" w:cs="Times New Roman"/>
          <w:sz w:val="24"/>
          <w:szCs w:val="24"/>
        </w:rPr>
        <w:t>ing</w:t>
      </w:r>
      <w:r w:rsidRPr="00246FEC">
        <w:rPr>
          <w:rFonts w:ascii="Times New Roman" w:eastAsia="Times New Roman" w:hAnsi="Times New Roman" w:cs="Times New Roman"/>
          <w:sz w:val="24"/>
          <w:szCs w:val="24"/>
        </w:rPr>
        <w:t xml:space="preserve"> whatever is the </w:t>
      </w:r>
      <w:r w:rsidR="0058009B" w:rsidRPr="00246FEC">
        <w:rPr>
          <w:rFonts w:ascii="Times New Roman" w:eastAsia="Times New Roman" w:hAnsi="Times New Roman" w:cs="Times New Roman"/>
          <w:sz w:val="24"/>
          <w:szCs w:val="24"/>
        </w:rPr>
        <w:t xml:space="preserve">“mind” of the </w:t>
      </w:r>
      <w:r w:rsidRPr="00246FEC">
        <w:rPr>
          <w:rFonts w:ascii="Times New Roman" w:eastAsia="Times New Roman" w:hAnsi="Times New Roman" w:cs="Times New Roman"/>
          <w:sz w:val="24"/>
          <w:szCs w:val="24"/>
        </w:rPr>
        <w:t>majority of the moment.  T</w:t>
      </w:r>
      <w:r w:rsidR="00397B6B" w:rsidRPr="00246FEC">
        <w:rPr>
          <w:rFonts w:ascii="Times New Roman" w:eastAsia="Times New Roman" w:hAnsi="Times New Roman" w:cs="Times New Roman"/>
          <w:sz w:val="24"/>
          <w:szCs w:val="24"/>
        </w:rPr>
        <w:t xml:space="preserve">he constitutionally scrupulous </w:t>
      </w:r>
      <w:r w:rsidR="0058009B" w:rsidRPr="00246FEC">
        <w:rPr>
          <w:rFonts w:ascii="Times New Roman" w:eastAsia="Times New Roman" w:hAnsi="Times New Roman" w:cs="Times New Roman"/>
          <w:sz w:val="24"/>
          <w:szCs w:val="24"/>
        </w:rPr>
        <w:t xml:space="preserve">may </w:t>
      </w:r>
      <w:r w:rsidR="00397B6B" w:rsidRPr="00246FEC">
        <w:rPr>
          <w:rFonts w:ascii="Times New Roman" w:eastAsia="Times New Roman" w:hAnsi="Times New Roman" w:cs="Times New Roman"/>
          <w:sz w:val="24"/>
          <w:szCs w:val="24"/>
        </w:rPr>
        <w:t xml:space="preserve">repeatedly try to </w:t>
      </w:r>
      <w:proofErr w:type="gramStart"/>
      <w:r w:rsidR="00397B6B" w:rsidRPr="00246FEC">
        <w:rPr>
          <w:rFonts w:ascii="Times New Roman" w:eastAsia="Times New Roman" w:hAnsi="Times New Roman" w:cs="Times New Roman"/>
          <w:sz w:val="24"/>
          <w:szCs w:val="24"/>
        </w:rPr>
        <w:t>conform</w:t>
      </w:r>
      <w:proofErr w:type="gramEnd"/>
      <w:r w:rsidR="00397B6B" w:rsidRPr="00246FEC">
        <w:rPr>
          <w:rFonts w:ascii="Times New Roman" w:eastAsia="Times New Roman" w:hAnsi="Times New Roman" w:cs="Times New Roman"/>
          <w:sz w:val="24"/>
          <w:szCs w:val="24"/>
        </w:rPr>
        <w:t xml:space="preserve"> the Constitution to the “mind” of General Convention, but </w:t>
      </w:r>
      <w:r w:rsidR="0058009B" w:rsidRPr="00246FEC">
        <w:rPr>
          <w:rFonts w:ascii="Times New Roman" w:eastAsia="Times New Roman" w:hAnsi="Times New Roman" w:cs="Times New Roman"/>
          <w:sz w:val="24"/>
          <w:szCs w:val="24"/>
        </w:rPr>
        <w:t xml:space="preserve">there apparently is </w:t>
      </w:r>
      <w:r w:rsidR="00397B6B" w:rsidRPr="00246FEC">
        <w:rPr>
          <w:rFonts w:ascii="Times New Roman" w:eastAsia="Times New Roman" w:hAnsi="Times New Roman" w:cs="Times New Roman"/>
          <w:sz w:val="24"/>
          <w:szCs w:val="24"/>
        </w:rPr>
        <w:t xml:space="preserve">no constituency in NEC </w:t>
      </w:r>
      <w:r w:rsidR="0058009B" w:rsidRPr="00246FEC">
        <w:rPr>
          <w:rFonts w:ascii="Times New Roman" w:eastAsia="Times New Roman" w:hAnsi="Times New Roman" w:cs="Times New Roman"/>
          <w:sz w:val="24"/>
          <w:szCs w:val="24"/>
        </w:rPr>
        <w:t>that is willing</w:t>
      </w:r>
      <w:r w:rsidR="00397B6B" w:rsidRPr="00246FEC">
        <w:rPr>
          <w:rFonts w:ascii="Times New Roman" w:eastAsia="Times New Roman" w:hAnsi="Times New Roman" w:cs="Times New Roman"/>
          <w:sz w:val="24"/>
          <w:szCs w:val="24"/>
        </w:rPr>
        <w:t xml:space="preserve"> to conform the actions of General Convention to the Constitution</w:t>
      </w:r>
      <w:r w:rsidR="00420BAB" w:rsidRPr="00246FEC">
        <w:rPr>
          <w:rFonts w:ascii="Times New Roman" w:eastAsia="Times New Roman" w:hAnsi="Times New Roman" w:cs="Times New Roman"/>
          <w:sz w:val="24"/>
          <w:szCs w:val="24"/>
        </w:rPr>
        <w:t xml:space="preserve"> and the BCP</w:t>
      </w:r>
      <w:r w:rsidR="00397B6B" w:rsidRPr="00246FEC">
        <w:rPr>
          <w:rFonts w:ascii="Times New Roman" w:eastAsia="Times New Roman" w:hAnsi="Times New Roman" w:cs="Times New Roman"/>
          <w:sz w:val="24"/>
          <w:szCs w:val="24"/>
        </w:rPr>
        <w:t xml:space="preserve">.  </w:t>
      </w:r>
      <w:r w:rsidRPr="00246FEC">
        <w:rPr>
          <w:rFonts w:ascii="Times New Roman" w:eastAsia="Times New Roman" w:hAnsi="Times New Roman" w:cs="Times New Roman"/>
          <w:sz w:val="24"/>
          <w:szCs w:val="24"/>
        </w:rPr>
        <w:t xml:space="preserve"> </w:t>
      </w:r>
      <w:r w:rsidR="00607F1D" w:rsidRPr="00246FEC">
        <w:rPr>
          <w:rFonts w:ascii="Times New Roman" w:eastAsia="Times New Roman" w:hAnsi="Times New Roman" w:cs="Times New Roman"/>
          <w:sz w:val="24"/>
          <w:szCs w:val="24"/>
        </w:rPr>
        <w:t xml:space="preserve"> </w:t>
      </w:r>
    </w:p>
    <w:sectPr w:rsidR="000B426C" w:rsidRPr="00246FEC" w:rsidSect="006901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0C2" w:rsidRDefault="001460C2" w:rsidP="00246FEC">
      <w:pPr>
        <w:spacing w:after="0" w:line="240" w:lineRule="auto"/>
      </w:pPr>
      <w:r>
        <w:separator/>
      </w:r>
    </w:p>
  </w:endnote>
  <w:endnote w:type="continuationSeparator" w:id="0">
    <w:p w:rsidR="001460C2" w:rsidRDefault="001460C2" w:rsidP="00246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0C2" w:rsidRDefault="001460C2" w:rsidP="00246FEC">
      <w:pPr>
        <w:spacing w:after="0" w:line="240" w:lineRule="auto"/>
      </w:pPr>
      <w:r>
        <w:separator/>
      </w:r>
    </w:p>
  </w:footnote>
  <w:footnote w:type="continuationSeparator" w:id="0">
    <w:p w:rsidR="001460C2" w:rsidRDefault="001460C2" w:rsidP="00246FEC">
      <w:pPr>
        <w:spacing w:after="0" w:line="240" w:lineRule="auto"/>
      </w:pPr>
      <w:r>
        <w:continuationSeparator/>
      </w:r>
    </w:p>
  </w:footnote>
  <w:footnote w:id="1">
    <w:p w:rsidR="00246FEC" w:rsidRDefault="00246FEC" w:rsidP="00246FEC">
      <w:pPr>
        <w:pStyle w:val="FootnoteText"/>
      </w:pPr>
      <w:r>
        <w:rPr>
          <w:rStyle w:val="FootnoteReference"/>
        </w:rPr>
        <w:footnoteRef/>
      </w:r>
      <w:r>
        <w:t xml:space="preserve"> </w:t>
      </w:r>
      <w:hyperlink r:id="rId1" w:history="1">
        <w:r>
          <w:rPr>
            <w:rStyle w:val="Hyperlink"/>
          </w:rPr>
          <w:t>http://www.anglicancommunioninstitute.com/2013/11/polity-primer-aci-response/</w:t>
        </w:r>
      </w:hyperlink>
      <w:r>
        <w:t xml:space="preserve">. </w:t>
      </w:r>
    </w:p>
  </w:footnote>
  <w:footnote w:id="2">
    <w:p w:rsidR="00246FEC" w:rsidRDefault="00246FEC" w:rsidP="00246FEC">
      <w:pPr>
        <w:pStyle w:val="FootnoteText"/>
      </w:pPr>
      <w:r>
        <w:rPr>
          <w:rStyle w:val="FootnoteReference"/>
        </w:rPr>
        <w:footnoteRef/>
      </w:r>
      <w:r>
        <w:t xml:space="preserve"> See the weblog of Bishop Dan Martins. </w:t>
      </w:r>
      <w:hyperlink r:id="rId2" w:history="1">
        <w:r>
          <w:rPr>
            <w:rStyle w:val="Hyperlink"/>
          </w:rPr>
          <w:t>http://cariocaconfessions.blogspot.com/2015/03/house-of-bishops-2015-spring-meeting_17.html</w:t>
        </w:r>
      </w:hyperlink>
      <w:r>
        <w:t xml:space="preserve">. </w:t>
      </w:r>
    </w:p>
  </w:footnote>
  <w:footnote w:id="3">
    <w:p w:rsidR="00246FEC" w:rsidRDefault="00246FEC" w:rsidP="00246FEC">
      <w:pPr>
        <w:pStyle w:val="FootnoteText"/>
      </w:pPr>
      <w:r>
        <w:rPr>
          <w:rStyle w:val="FootnoteReference"/>
        </w:rPr>
        <w:footnoteRef/>
      </w:r>
      <w:r>
        <w:t xml:space="preserve"> The 2012 provisional blessing was to be used “under the direction and subject to the permission of the Bishop with ecclesiastical authority.” </w:t>
      </w:r>
    </w:p>
  </w:footnote>
  <w:footnote w:id="4">
    <w:p w:rsidR="00246FEC" w:rsidRDefault="00246FEC" w:rsidP="00246FEC">
      <w:pPr>
        <w:pStyle w:val="FootnoteText"/>
      </w:pPr>
      <w:r>
        <w:rPr>
          <w:rStyle w:val="FootnoteReference"/>
        </w:rPr>
        <w:footnoteRef/>
      </w:r>
      <w:r>
        <w:t xml:space="preserve"> That the form of the 1979 BCP may give rise to this new understanding is not our concern here, insofar as the 1979 BCP was not a revision that expressly declared for such a development via rubrics or rites, thus making its own status ephemeral or suggestive only. It was printed with a spine and not a ring-binder.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56086"/>
    <w:multiLevelType w:val="hybridMultilevel"/>
    <w:tmpl w:val="24E85D10"/>
    <w:lvl w:ilvl="0" w:tplc="C46A89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A51FA6"/>
    <w:multiLevelType w:val="multilevel"/>
    <w:tmpl w:val="77D2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DD66C8"/>
    <w:multiLevelType w:val="hybridMultilevel"/>
    <w:tmpl w:val="A2DA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FFC"/>
    <w:rsid w:val="000B426C"/>
    <w:rsid w:val="000F3FFC"/>
    <w:rsid w:val="0010034A"/>
    <w:rsid w:val="0011112D"/>
    <w:rsid w:val="001460C2"/>
    <w:rsid w:val="00190D5F"/>
    <w:rsid w:val="001D41BB"/>
    <w:rsid w:val="00204E78"/>
    <w:rsid w:val="00246FEC"/>
    <w:rsid w:val="002E00CF"/>
    <w:rsid w:val="002F754E"/>
    <w:rsid w:val="002F7FDE"/>
    <w:rsid w:val="00333508"/>
    <w:rsid w:val="00381EDB"/>
    <w:rsid w:val="00393790"/>
    <w:rsid w:val="00397B6B"/>
    <w:rsid w:val="00420BAB"/>
    <w:rsid w:val="00422E6D"/>
    <w:rsid w:val="004325C4"/>
    <w:rsid w:val="00545ACF"/>
    <w:rsid w:val="0058009B"/>
    <w:rsid w:val="005D341D"/>
    <w:rsid w:val="00607F1D"/>
    <w:rsid w:val="00643A55"/>
    <w:rsid w:val="00646655"/>
    <w:rsid w:val="006901DC"/>
    <w:rsid w:val="006C3D14"/>
    <w:rsid w:val="006F4F9F"/>
    <w:rsid w:val="007066E3"/>
    <w:rsid w:val="007B289A"/>
    <w:rsid w:val="007D7D46"/>
    <w:rsid w:val="00846201"/>
    <w:rsid w:val="0089423A"/>
    <w:rsid w:val="00942193"/>
    <w:rsid w:val="00972E81"/>
    <w:rsid w:val="00A17702"/>
    <w:rsid w:val="00A2228A"/>
    <w:rsid w:val="00A2763B"/>
    <w:rsid w:val="00A927CA"/>
    <w:rsid w:val="00B72A7D"/>
    <w:rsid w:val="00BC7F9F"/>
    <w:rsid w:val="00C76B1D"/>
    <w:rsid w:val="00CB3DEB"/>
    <w:rsid w:val="00CD57D0"/>
    <w:rsid w:val="00DA1C71"/>
    <w:rsid w:val="00EA332E"/>
    <w:rsid w:val="00F34E61"/>
    <w:rsid w:val="00F42B2D"/>
    <w:rsid w:val="00FA540D"/>
    <w:rsid w:val="00FE6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3FF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F3FFC"/>
    <w:rPr>
      <w:i/>
      <w:iCs/>
    </w:rPr>
  </w:style>
  <w:style w:type="paragraph" w:styleId="ListParagraph">
    <w:name w:val="List Paragraph"/>
    <w:basedOn w:val="Normal"/>
    <w:uiPriority w:val="34"/>
    <w:qFormat/>
    <w:rsid w:val="00381EDB"/>
    <w:pPr>
      <w:ind w:left="720"/>
      <w:contextualSpacing/>
    </w:pPr>
  </w:style>
  <w:style w:type="character" w:styleId="Hyperlink">
    <w:name w:val="Hyperlink"/>
    <w:basedOn w:val="DefaultParagraphFont"/>
    <w:uiPriority w:val="99"/>
    <w:semiHidden/>
    <w:unhideWhenUsed/>
    <w:rsid w:val="00246FEC"/>
    <w:rPr>
      <w:color w:val="0000FF" w:themeColor="hyperlink"/>
      <w:u w:val="single"/>
    </w:rPr>
  </w:style>
  <w:style w:type="paragraph" w:styleId="FootnoteText">
    <w:name w:val="footnote text"/>
    <w:basedOn w:val="Normal"/>
    <w:link w:val="FootnoteTextChar"/>
    <w:uiPriority w:val="99"/>
    <w:semiHidden/>
    <w:unhideWhenUsed/>
    <w:rsid w:val="00246FEC"/>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246FEC"/>
    <w:rPr>
      <w:rFonts w:eastAsiaTheme="minorHAnsi"/>
      <w:sz w:val="20"/>
      <w:szCs w:val="20"/>
    </w:rPr>
  </w:style>
  <w:style w:type="character" w:styleId="FootnoteReference">
    <w:name w:val="footnote reference"/>
    <w:basedOn w:val="DefaultParagraphFont"/>
    <w:uiPriority w:val="99"/>
    <w:semiHidden/>
    <w:unhideWhenUsed/>
    <w:rsid w:val="00246FEC"/>
    <w:rPr>
      <w:vertAlign w:val="superscript"/>
    </w:rPr>
  </w:style>
  <w:style w:type="paragraph" w:styleId="BalloonText">
    <w:name w:val="Balloon Text"/>
    <w:basedOn w:val="Normal"/>
    <w:link w:val="BalloonTextChar"/>
    <w:uiPriority w:val="99"/>
    <w:semiHidden/>
    <w:unhideWhenUsed/>
    <w:rsid w:val="002E0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0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3FF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F3FFC"/>
    <w:rPr>
      <w:i/>
      <w:iCs/>
    </w:rPr>
  </w:style>
  <w:style w:type="paragraph" w:styleId="ListParagraph">
    <w:name w:val="List Paragraph"/>
    <w:basedOn w:val="Normal"/>
    <w:uiPriority w:val="34"/>
    <w:qFormat/>
    <w:rsid w:val="00381EDB"/>
    <w:pPr>
      <w:ind w:left="720"/>
      <w:contextualSpacing/>
    </w:pPr>
  </w:style>
  <w:style w:type="character" w:styleId="Hyperlink">
    <w:name w:val="Hyperlink"/>
    <w:basedOn w:val="DefaultParagraphFont"/>
    <w:uiPriority w:val="99"/>
    <w:semiHidden/>
    <w:unhideWhenUsed/>
    <w:rsid w:val="00246FEC"/>
    <w:rPr>
      <w:color w:val="0000FF" w:themeColor="hyperlink"/>
      <w:u w:val="single"/>
    </w:rPr>
  </w:style>
  <w:style w:type="paragraph" w:styleId="FootnoteText">
    <w:name w:val="footnote text"/>
    <w:basedOn w:val="Normal"/>
    <w:link w:val="FootnoteTextChar"/>
    <w:uiPriority w:val="99"/>
    <w:semiHidden/>
    <w:unhideWhenUsed/>
    <w:rsid w:val="00246FEC"/>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246FEC"/>
    <w:rPr>
      <w:rFonts w:eastAsiaTheme="minorHAnsi"/>
      <w:sz w:val="20"/>
      <w:szCs w:val="20"/>
    </w:rPr>
  </w:style>
  <w:style w:type="character" w:styleId="FootnoteReference">
    <w:name w:val="footnote reference"/>
    <w:basedOn w:val="DefaultParagraphFont"/>
    <w:uiPriority w:val="99"/>
    <w:semiHidden/>
    <w:unhideWhenUsed/>
    <w:rsid w:val="00246FEC"/>
    <w:rPr>
      <w:vertAlign w:val="superscript"/>
    </w:rPr>
  </w:style>
  <w:style w:type="paragraph" w:styleId="BalloonText">
    <w:name w:val="Balloon Text"/>
    <w:basedOn w:val="Normal"/>
    <w:link w:val="BalloonTextChar"/>
    <w:uiPriority w:val="99"/>
    <w:semiHidden/>
    <w:unhideWhenUsed/>
    <w:rsid w:val="002E0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0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924423">
      <w:bodyDiv w:val="1"/>
      <w:marLeft w:val="0"/>
      <w:marRight w:val="0"/>
      <w:marTop w:val="0"/>
      <w:marBottom w:val="0"/>
      <w:divBdr>
        <w:top w:val="none" w:sz="0" w:space="0" w:color="auto"/>
        <w:left w:val="none" w:sz="0" w:space="0" w:color="auto"/>
        <w:bottom w:val="none" w:sz="0" w:space="0" w:color="auto"/>
        <w:right w:val="none" w:sz="0" w:space="0" w:color="auto"/>
      </w:divBdr>
      <w:divsChild>
        <w:div w:id="824006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678147">
              <w:marLeft w:val="0"/>
              <w:marRight w:val="0"/>
              <w:marTop w:val="0"/>
              <w:marBottom w:val="0"/>
              <w:divBdr>
                <w:top w:val="none" w:sz="0" w:space="0" w:color="auto"/>
                <w:left w:val="none" w:sz="0" w:space="0" w:color="auto"/>
                <w:bottom w:val="none" w:sz="0" w:space="0" w:color="auto"/>
                <w:right w:val="none" w:sz="0" w:space="0" w:color="auto"/>
              </w:divBdr>
              <w:divsChild>
                <w:div w:id="97794679">
                  <w:marLeft w:val="0"/>
                  <w:marRight w:val="0"/>
                  <w:marTop w:val="0"/>
                  <w:marBottom w:val="0"/>
                  <w:divBdr>
                    <w:top w:val="none" w:sz="0" w:space="0" w:color="auto"/>
                    <w:left w:val="none" w:sz="0" w:space="0" w:color="auto"/>
                    <w:bottom w:val="none" w:sz="0" w:space="0" w:color="auto"/>
                    <w:right w:val="none" w:sz="0" w:space="0" w:color="auto"/>
                  </w:divBdr>
                </w:div>
                <w:div w:id="1878467662">
                  <w:marLeft w:val="0"/>
                  <w:marRight w:val="0"/>
                  <w:marTop w:val="0"/>
                  <w:marBottom w:val="0"/>
                  <w:divBdr>
                    <w:top w:val="none" w:sz="0" w:space="0" w:color="auto"/>
                    <w:left w:val="none" w:sz="0" w:space="0" w:color="auto"/>
                    <w:bottom w:val="none" w:sz="0" w:space="0" w:color="auto"/>
                    <w:right w:val="none" w:sz="0" w:space="0" w:color="auto"/>
                  </w:divBdr>
                </w:div>
                <w:div w:id="178160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959377">
      <w:bodyDiv w:val="1"/>
      <w:marLeft w:val="0"/>
      <w:marRight w:val="0"/>
      <w:marTop w:val="0"/>
      <w:marBottom w:val="0"/>
      <w:divBdr>
        <w:top w:val="none" w:sz="0" w:space="0" w:color="auto"/>
        <w:left w:val="none" w:sz="0" w:space="0" w:color="auto"/>
        <w:bottom w:val="none" w:sz="0" w:space="0" w:color="auto"/>
        <w:right w:val="none" w:sz="0" w:space="0" w:color="auto"/>
      </w:divBdr>
      <w:divsChild>
        <w:div w:id="2119443342">
          <w:marLeft w:val="0"/>
          <w:marRight w:val="0"/>
          <w:marTop w:val="0"/>
          <w:marBottom w:val="0"/>
          <w:divBdr>
            <w:top w:val="none" w:sz="0" w:space="0" w:color="auto"/>
            <w:left w:val="none" w:sz="0" w:space="0" w:color="auto"/>
            <w:bottom w:val="none" w:sz="0" w:space="0" w:color="auto"/>
            <w:right w:val="none" w:sz="0" w:space="0" w:color="auto"/>
          </w:divBdr>
        </w:div>
        <w:div w:id="92938457">
          <w:marLeft w:val="0"/>
          <w:marRight w:val="0"/>
          <w:marTop w:val="0"/>
          <w:marBottom w:val="0"/>
          <w:divBdr>
            <w:top w:val="none" w:sz="0" w:space="0" w:color="auto"/>
            <w:left w:val="none" w:sz="0" w:space="0" w:color="auto"/>
            <w:bottom w:val="none" w:sz="0" w:space="0" w:color="auto"/>
            <w:right w:val="none" w:sz="0" w:space="0" w:color="auto"/>
          </w:divBdr>
        </w:div>
        <w:div w:id="948782330">
          <w:marLeft w:val="0"/>
          <w:marRight w:val="0"/>
          <w:marTop w:val="0"/>
          <w:marBottom w:val="0"/>
          <w:divBdr>
            <w:top w:val="none" w:sz="0" w:space="0" w:color="auto"/>
            <w:left w:val="none" w:sz="0" w:space="0" w:color="auto"/>
            <w:bottom w:val="none" w:sz="0" w:space="0" w:color="auto"/>
            <w:right w:val="none" w:sz="0" w:space="0" w:color="auto"/>
          </w:divBdr>
        </w:div>
        <w:div w:id="1246113153">
          <w:marLeft w:val="0"/>
          <w:marRight w:val="0"/>
          <w:marTop w:val="0"/>
          <w:marBottom w:val="0"/>
          <w:divBdr>
            <w:top w:val="none" w:sz="0" w:space="0" w:color="auto"/>
            <w:left w:val="none" w:sz="0" w:space="0" w:color="auto"/>
            <w:bottom w:val="none" w:sz="0" w:space="0" w:color="auto"/>
            <w:right w:val="none" w:sz="0" w:space="0" w:color="auto"/>
          </w:divBdr>
        </w:div>
      </w:divsChild>
    </w:div>
    <w:div w:id="1164081522">
      <w:bodyDiv w:val="1"/>
      <w:marLeft w:val="0"/>
      <w:marRight w:val="0"/>
      <w:marTop w:val="0"/>
      <w:marBottom w:val="0"/>
      <w:divBdr>
        <w:top w:val="none" w:sz="0" w:space="0" w:color="auto"/>
        <w:left w:val="none" w:sz="0" w:space="0" w:color="auto"/>
        <w:bottom w:val="none" w:sz="0" w:space="0" w:color="auto"/>
        <w:right w:val="none" w:sz="0" w:space="0" w:color="auto"/>
      </w:divBdr>
      <w:divsChild>
        <w:div w:id="1080297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580973">
              <w:marLeft w:val="0"/>
              <w:marRight w:val="0"/>
              <w:marTop w:val="0"/>
              <w:marBottom w:val="0"/>
              <w:divBdr>
                <w:top w:val="none" w:sz="0" w:space="0" w:color="auto"/>
                <w:left w:val="none" w:sz="0" w:space="0" w:color="auto"/>
                <w:bottom w:val="none" w:sz="0" w:space="0" w:color="auto"/>
                <w:right w:val="none" w:sz="0" w:space="0" w:color="auto"/>
              </w:divBdr>
              <w:divsChild>
                <w:div w:id="1947495802">
                  <w:marLeft w:val="0"/>
                  <w:marRight w:val="0"/>
                  <w:marTop w:val="0"/>
                  <w:marBottom w:val="0"/>
                  <w:divBdr>
                    <w:top w:val="none" w:sz="0" w:space="0" w:color="auto"/>
                    <w:left w:val="none" w:sz="0" w:space="0" w:color="auto"/>
                    <w:bottom w:val="none" w:sz="0" w:space="0" w:color="auto"/>
                    <w:right w:val="none" w:sz="0" w:space="0" w:color="auto"/>
                  </w:divBdr>
                </w:div>
                <w:div w:id="449326622">
                  <w:marLeft w:val="0"/>
                  <w:marRight w:val="0"/>
                  <w:marTop w:val="0"/>
                  <w:marBottom w:val="0"/>
                  <w:divBdr>
                    <w:top w:val="none" w:sz="0" w:space="0" w:color="auto"/>
                    <w:left w:val="none" w:sz="0" w:space="0" w:color="auto"/>
                    <w:bottom w:val="none" w:sz="0" w:space="0" w:color="auto"/>
                    <w:right w:val="none" w:sz="0" w:space="0" w:color="auto"/>
                  </w:divBdr>
                </w:div>
                <w:div w:id="14516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3790">
      <w:bodyDiv w:val="1"/>
      <w:marLeft w:val="0"/>
      <w:marRight w:val="0"/>
      <w:marTop w:val="0"/>
      <w:marBottom w:val="0"/>
      <w:divBdr>
        <w:top w:val="none" w:sz="0" w:space="0" w:color="auto"/>
        <w:left w:val="none" w:sz="0" w:space="0" w:color="auto"/>
        <w:bottom w:val="none" w:sz="0" w:space="0" w:color="auto"/>
        <w:right w:val="none" w:sz="0" w:space="0" w:color="auto"/>
      </w:divBdr>
    </w:div>
    <w:div w:id="1316450871">
      <w:bodyDiv w:val="1"/>
      <w:marLeft w:val="0"/>
      <w:marRight w:val="0"/>
      <w:marTop w:val="0"/>
      <w:marBottom w:val="0"/>
      <w:divBdr>
        <w:top w:val="none" w:sz="0" w:space="0" w:color="auto"/>
        <w:left w:val="none" w:sz="0" w:space="0" w:color="auto"/>
        <w:bottom w:val="none" w:sz="0" w:space="0" w:color="auto"/>
        <w:right w:val="none" w:sz="0" w:space="0" w:color="auto"/>
      </w:divBdr>
      <w:divsChild>
        <w:div w:id="342051223">
          <w:marLeft w:val="0"/>
          <w:marRight w:val="0"/>
          <w:marTop w:val="0"/>
          <w:marBottom w:val="0"/>
          <w:divBdr>
            <w:top w:val="none" w:sz="0" w:space="0" w:color="auto"/>
            <w:left w:val="none" w:sz="0" w:space="0" w:color="auto"/>
            <w:bottom w:val="none" w:sz="0" w:space="0" w:color="auto"/>
            <w:right w:val="none" w:sz="0" w:space="0" w:color="auto"/>
          </w:divBdr>
        </w:div>
        <w:div w:id="851648931">
          <w:marLeft w:val="0"/>
          <w:marRight w:val="0"/>
          <w:marTop w:val="0"/>
          <w:marBottom w:val="0"/>
          <w:divBdr>
            <w:top w:val="none" w:sz="0" w:space="0" w:color="auto"/>
            <w:left w:val="none" w:sz="0" w:space="0" w:color="auto"/>
            <w:bottom w:val="none" w:sz="0" w:space="0" w:color="auto"/>
            <w:right w:val="none" w:sz="0" w:space="0" w:color="auto"/>
          </w:divBdr>
        </w:div>
        <w:div w:id="61756090">
          <w:marLeft w:val="0"/>
          <w:marRight w:val="0"/>
          <w:marTop w:val="0"/>
          <w:marBottom w:val="0"/>
          <w:divBdr>
            <w:top w:val="none" w:sz="0" w:space="0" w:color="auto"/>
            <w:left w:val="none" w:sz="0" w:space="0" w:color="auto"/>
            <w:bottom w:val="none" w:sz="0" w:space="0" w:color="auto"/>
            <w:right w:val="none" w:sz="0" w:space="0" w:color="auto"/>
          </w:divBdr>
        </w:div>
        <w:div w:id="1560627861">
          <w:marLeft w:val="0"/>
          <w:marRight w:val="0"/>
          <w:marTop w:val="0"/>
          <w:marBottom w:val="0"/>
          <w:divBdr>
            <w:top w:val="none" w:sz="0" w:space="0" w:color="auto"/>
            <w:left w:val="none" w:sz="0" w:space="0" w:color="auto"/>
            <w:bottom w:val="none" w:sz="0" w:space="0" w:color="auto"/>
            <w:right w:val="none" w:sz="0" w:space="0" w:color="auto"/>
          </w:divBdr>
        </w:div>
      </w:divsChild>
    </w:div>
    <w:div w:id="198596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cariocaconfessions.blogspot.com/2015/03/house-of-bishops-2015-spring-meeting_17.html" TargetMode="External"/><Relationship Id="rId1" Type="http://schemas.openxmlformats.org/officeDocument/2006/relationships/hyperlink" Target="http://www.anglicancommunioninstitute.com/2013/11/polity-primer-aci-respo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51ADE-1774-4696-979E-CE102032F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2641</Words>
  <Characters>15057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Christopher Seitz</cp:lastModifiedBy>
  <cp:revision>3</cp:revision>
  <cp:lastPrinted>2015-04-14T14:54:00Z</cp:lastPrinted>
  <dcterms:created xsi:type="dcterms:W3CDTF">2015-04-14T15:23:00Z</dcterms:created>
  <dcterms:modified xsi:type="dcterms:W3CDTF">2015-04-14T15:23:00Z</dcterms:modified>
</cp:coreProperties>
</file>